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3869E" w14:textId="77777777" w:rsidR="00966D6D" w:rsidRPr="00966D6D" w:rsidRDefault="00966D6D" w:rsidP="00966D6D">
      <w:pPr>
        <w:rPr>
          <w:b/>
          <w:bCs/>
        </w:rPr>
      </w:pPr>
      <w:r w:rsidRPr="00966D6D">
        <w:rPr>
          <w:b/>
          <w:bCs/>
        </w:rPr>
        <w:t>Financial Health Report: The Finance Group</w:t>
      </w:r>
    </w:p>
    <w:p w14:paraId="2B803C5B" w14:textId="77777777" w:rsidR="00966D6D" w:rsidRPr="00966D6D" w:rsidRDefault="00966D6D" w:rsidP="00966D6D">
      <w:r w:rsidRPr="00966D6D">
        <w:rPr>
          <w:b/>
          <w:bCs/>
        </w:rPr>
        <w:t>Date:</w:t>
      </w:r>
      <w:r w:rsidRPr="00966D6D">
        <w:t xml:space="preserve"> October 2023</w:t>
      </w:r>
    </w:p>
    <w:p w14:paraId="71984A8B" w14:textId="77777777" w:rsidR="00966D6D" w:rsidRPr="00966D6D" w:rsidRDefault="00966D6D" w:rsidP="00966D6D">
      <w:r w:rsidRPr="00966D6D">
        <w:rPr>
          <w:b/>
          <w:bCs/>
        </w:rPr>
        <w:t>Subject:</w:t>
      </w:r>
      <w:r w:rsidRPr="00966D6D">
        <w:t xml:space="preserve"> Monthly Financial Performance &amp; KPI Analysis</w:t>
      </w:r>
    </w:p>
    <w:p w14:paraId="7A70AE61" w14:textId="77777777" w:rsidR="00966D6D" w:rsidRPr="00966D6D" w:rsidRDefault="00966D6D" w:rsidP="00966D6D">
      <w:pPr>
        <w:rPr>
          <w:b/>
          <w:bCs/>
        </w:rPr>
      </w:pPr>
      <w:r w:rsidRPr="00966D6D">
        <w:rPr>
          <w:b/>
          <w:bCs/>
        </w:rPr>
        <w:t>1. Executive Summary</w:t>
      </w:r>
    </w:p>
    <w:p w14:paraId="2D3B3CA1" w14:textId="06656632" w:rsidR="00966D6D" w:rsidRPr="00966D6D" w:rsidRDefault="00966D6D" w:rsidP="00966D6D">
      <w:r w:rsidRPr="00966D6D">
        <w:t xml:space="preserve">The company maintains a stable financial position with a consistent monthly revenue stream of approximately </w:t>
      </w:r>
      <w:r w:rsidRPr="00966D6D">
        <w:rPr>
          <w:b/>
          <w:bCs/>
        </w:rPr>
        <w:t>$2M</w:t>
      </w:r>
      <w:r w:rsidRPr="00966D6D">
        <w:t xml:space="preserve">. While the company is currently underperforming against an aggressive budget (24% variance), the operational health remains strong with a </w:t>
      </w:r>
      <w:r w:rsidRPr="00966D6D">
        <w:rPr>
          <w:b/>
          <w:bCs/>
        </w:rPr>
        <w:t>45.6% Gross Margin</w:t>
      </w:r>
      <w:r w:rsidRPr="00966D6D">
        <w:t xml:space="preserve"> and a healthy </w:t>
      </w:r>
      <w:r w:rsidRPr="00966D6D">
        <w:rPr>
          <w:b/>
          <w:bCs/>
        </w:rPr>
        <w:t>24.8% EBITDA margin</w:t>
      </w:r>
      <w:r w:rsidRPr="00966D6D">
        <w:t>. Most importantly, liquidity is stable, with no negative dips in the monthly cash flow waterfall.</w:t>
      </w:r>
    </w:p>
    <w:p w14:paraId="5491BE75" w14:textId="77777777" w:rsidR="00966D6D" w:rsidRPr="00966D6D" w:rsidRDefault="00966D6D" w:rsidP="00966D6D">
      <w:pPr>
        <w:rPr>
          <w:b/>
          <w:bCs/>
        </w:rPr>
      </w:pPr>
      <w:r w:rsidRPr="00966D6D">
        <w:rPr>
          <w:b/>
          <w:bCs/>
        </w:rPr>
        <w:t>2. Logic &amp; Methodology</w:t>
      </w:r>
    </w:p>
    <w:p w14:paraId="764483C4" w14:textId="77777777" w:rsidR="00966D6D" w:rsidRPr="00966D6D" w:rsidRDefault="00966D6D" w:rsidP="00966D6D">
      <w:r w:rsidRPr="00966D6D">
        <w:t>To ensure the dashboard provides "actionable" insights, the following logic was applied:</w:t>
      </w:r>
    </w:p>
    <w:p w14:paraId="3D7FDA4F" w14:textId="77777777" w:rsidR="00966D6D" w:rsidRPr="00966D6D" w:rsidRDefault="00966D6D" w:rsidP="00966D6D">
      <w:pPr>
        <w:numPr>
          <w:ilvl w:val="0"/>
          <w:numId w:val="1"/>
        </w:numPr>
      </w:pPr>
      <w:r w:rsidRPr="00966D6D">
        <w:rPr>
          <w:b/>
          <w:bCs/>
        </w:rPr>
        <w:t>Net Cash Flow:</w:t>
      </w:r>
      <w:r w:rsidRPr="00966D6D">
        <w:t xml:space="preserve"> Calculated as Total Cash Inflows - Total Cash Outflows. This measure was used in the Waterfall chart to monitor liquidity.</w:t>
      </w:r>
    </w:p>
    <w:p w14:paraId="6CE6D5F3" w14:textId="77777777" w:rsidR="00966D6D" w:rsidRPr="00966D6D" w:rsidRDefault="00966D6D" w:rsidP="00966D6D">
      <w:pPr>
        <w:numPr>
          <w:ilvl w:val="0"/>
          <w:numId w:val="1"/>
        </w:numPr>
      </w:pPr>
      <w:r w:rsidRPr="00966D6D">
        <w:rPr>
          <w:b/>
          <w:bCs/>
        </w:rPr>
        <w:t>Profitability Ratios:</w:t>
      </w:r>
      <w:r w:rsidRPr="00966D6D">
        <w:t xml:space="preserve"> We prioritized </w:t>
      </w:r>
      <w:r w:rsidRPr="00966D6D">
        <w:rPr>
          <w:b/>
          <w:bCs/>
        </w:rPr>
        <w:t>Gross Margin %</w:t>
      </w:r>
      <w:r w:rsidRPr="00966D6D">
        <w:t xml:space="preserve"> and </w:t>
      </w:r>
      <w:r w:rsidRPr="00966D6D">
        <w:rPr>
          <w:b/>
          <w:bCs/>
        </w:rPr>
        <w:t>EBITDA %</w:t>
      </w:r>
      <w:r w:rsidRPr="00966D6D">
        <w:t xml:space="preserve"> over raw values to allow for a direct comparison of efficiency between the North, South, East, and West regions regardless of their size.</w:t>
      </w:r>
    </w:p>
    <w:p w14:paraId="6EAAAF87" w14:textId="77777777" w:rsidR="00966D6D" w:rsidRPr="00966D6D" w:rsidRDefault="00966D6D" w:rsidP="00966D6D">
      <w:pPr>
        <w:numPr>
          <w:ilvl w:val="0"/>
          <w:numId w:val="1"/>
        </w:numPr>
      </w:pPr>
      <w:r w:rsidRPr="00966D6D">
        <w:rPr>
          <w:b/>
          <w:bCs/>
        </w:rPr>
        <w:t>Budget Variance:</w:t>
      </w:r>
      <w:r w:rsidRPr="00966D6D">
        <w:t xml:space="preserve"> Calculated as (Actual Revenue - Budget Revenue) / Budget Revenue. This highlights the gap in sales performance expectations.</w:t>
      </w:r>
    </w:p>
    <w:p w14:paraId="5D5A960C" w14:textId="60FEF360" w:rsidR="00966D6D" w:rsidRPr="00966D6D" w:rsidRDefault="00966D6D" w:rsidP="00966D6D">
      <w:pPr>
        <w:numPr>
          <w:ilvl w:val="0"/>
          <w:numId w:val="1"/>
        </w:numPr>
      </w:pPr>
      <w:r w:rsidRPr="00966D6D">
        <w:rPr>
          <w:b/>
          <w:bCs/>
        </w:rPr>
        <w:t>Receivables Aging:</w:t>
      </w:r>
      <w:r w:rsidRPr="00966D6D">
        <w:t xml:space="preserve"> Represented as an average number of days to identify potential credit risks or collection bottlenecks in specific regions.</w:t>
      </w:r>
    </w:p>
    <w:p w14:paraId="773B2505" w14:textId="77777777" w:rsidR="00966D6D" w:rsidRPr="00966D6D" w:rsidRDefault="00966D6D" w:rsidP="00966D6D">
      <w:pPr>
        <w:rPr>
          <w:b/>
          <w:bCs/>
        </w:rPr>
      </w:pPr>
      <w:r w:rsidRPr="00966D6D">
        <w:rPr>
          <w:b/>
          <w:bCs/>
        </w:rPr>
        <w:t>3. Key Business Insights</w:t>
      </w:r>
    </w:p>
    <w:p w14:paraId="330828C7" w14:textId="77777777" w:rsidR="00966D6D" w:rsidRPr="00966D6D" w:rsidRDefault="00966D6D" w:rsidP="00966D6D">
      <w:pPr>
        <w:numPr>
          <w:ilvl w:val="0"/>
          <w:numId w:val="2"/>
        </w:numPr>
      </w:pPr>
      <w:r w:rsidRPr="00966D6D">
        <w:rPr>
          <w:b/>
          <w:bCs/>
        </w:rPr>
        <w:t>Revenue Consistency:</w:t>
      </w:r>
      <w:r w:rsidRPr="00966D6D">
        <w:t xml:space="preserve"> The dashboard reveals a highly predictable revenue model, with every month contributing roughly </w:t>
      </w:r>
      <w:r w:rsidRPr="00966D6D">
        <w:rPr>
          <w:b/>
          <w:bCs/>
        </w:rPr>
        <w:t>$2M</w:t>
      </w:r>
      <w:r w:rsidRPr="00966D6D">
        <w:t>. This suggests a stable, perhaps contract-based, client base.</w:t>
      </w:r>
    </w:p>
    <w:p w14:paraId="5B112CCA" w14:textId="77777777" w:rsidR="00966D6D" w:rsidRPr="00966D6D" w:rsidRDefault="00966D6D" w:rsidP="00966D6D">
      <w:pPr>
        <w:numPr>
          <w:ilvl w:val="0"/>
          <w:numId w:val="2"/>
        </w:numPr>
      </w:pPr>
      <w:r w:rsidRPr="00966D6D">
        <w:rPr>
          <w:b/>
          <w:bCs/>
        </w:rPr>
        <w:t>The Budget Gap:</w:t>
      </w:r>
      <w:r w:rsidRPr="00966D6D">
        <w:t xml:space="preserve"> There is a consistent </w:t>
      </w:r>
      <w:r w:rsidRPr="00966D6D">
        <w:rPr>
          <w:b/>
          <w:bCs/>
        </w:rPr>
        <w:t>-24.23% variance</w:t>
      </w:r>
      <w:r w:rsidRPr="00966D6D">
        <w:t xml:space="preserve"> against the revenue budget. This indicates that while the business is stable, the sales targets set at the beginning of the year may have been over-optimistic or market conditions have shifted.</w:t>
      </w:r>
    </w:p>
    <w:p w14:paraId="3CF01AB3" w14:textId="77777777" w:rsidR="00966D6D" w:rsidRPr="00966D6D" w:rsidRDefault="00966D6D" w:rsidP="00966D6D">
      <w:pPr>
        <w:numPr>
          <w:ilvl w:val="0"/>
          <w:numId w:val="2"/>
        </w:numPr>
      </w:pPr>
      <w:r w:rsidRPr="00966D6D">
        <w:rPr>
          <w:b/>
          <w:bCs/>
        </w:rPr>
        <w:t>Product Performance:</w:t>
      </w:r>
      <w:r w:rsidRPr="00966D6D">
        <w:t xml:space="preserve"> </w:t>
      </w:r>
      <w:r w:rsidRPr="00966D6D">
        <w:rPr>
          <w:b/>
          <w:bCs/>
        </w:rPr>
        <w:t>Product C</w:t>
      </w:r>
      <w:r w:rsidRPr="00966D6D">
        <w:t xml:space="preserve"> and </w:t>
      </w:r>
      <w:r w:rsidRPr="00966D6D">
        <w:rPr>
          <w:b/>
          <w:bCs/>
        </w:rPr>
        <w:t>Service X</w:t>
      </w:r>
      <w:r w:rsidRPr="00966D6D">
        <w:t xml:space="preserve"> are the primary drivers of the company's growth, accounting for the highest share of total revenue.</w:t>
      </w:r>
    </w:p>
    <w:p w14:paraId="623D0C48" w14:textId="77777777" w:rsidR="00966D6D" w:rsidRPr="00966D6D" w:rsidRDefault="00966D6D" w:rsidP="00966D6D">
      <w:pPr>
        <w:numPr>
          <w:ilvl w:val="0"/>
          <w:numId w:val="2"/>
        </w:numPr>
      </w:pPr>
      <w:r w:rsidRPr="00966D6D">
        <w:rPr>
          <w:b/>
          <w:bCs/>
        </w:rPr>
        <w:t>Liquidity Strength:</w:t>
      </w:r>
      <w:r w:rsidRPr="00966D6D">
        <w:t xml:space="preserve"> The Cash Flow Waterfall chart shows </w:t>
      </w:r>
      <w:r w:rsidRPr="00966D6D">
        <w:rPr>
          <w:b/>
          <w:bCs/>
        </w:rPr>
        <w:t>no monthly dips</w:t>
      </w:r>
      <w:r w:rsidRPr="00966D6D">
        <w:t xml:space="preserve">, meaning the company successfully generated enough inflow each month to cover its outflows. The total net cash position stands at </w:t>
      </w:r>
      <w:r w:rsidRPr="00966D6D">
        <w:rPr>
          <w:b/>
          <w:bCs/>
        </w:rPr>
        <w:t>+$687,990</w:t>
      </w:r>
      <w:r w:rsidRPr="00966D6D">
        <w:t>.</w:t>
      </w:r>
    </w:p>
    <w:p w14:paraId="21071A4C" w14:textId="23CCE291" w:rsidR="00966D6D" w:rsidRPr="00966D6D" w:rsidRDefault="00966D6D" w:rsidP="00966D6D">
      <w:pPr>
        <w:numPr>
          <w:ilvl w:val="0"/>
          <w:numId w:val="2"/>
        </w:numPr>
      </w:pPr>
      <w:r w:rsidRPr="00966D6D">
        <w:rPr>
          <w:b/>
          <w:bCs/>
        </w:rPr>
        <w:t>Geographic Uniformity:</w:t>
      </w:r>
      <w:r w:rsidRPr="00966D6D">
        <w:t xml:space="preserve"> Receivables aging is consistent across all regions (averaging </w:t>
      </w:r>
      <w:r w:rsidRPr="00966D6D">
        <w:rPr>
          <w:b/>
          <w:bCs/>
        </w:rPr>
        <w:t>29 days</w:t>
      </w:r>
      <w:r w:rsidRPr="00966D6D">
        <w:t>), suggesting that the credit control department is performing uniformly well across all territories.</w:t>
      </w:r>
    </w:p>
    <w:p w14:paraId="288893A7" w14:textId="77777777" w:rsidR="00966D6D" w:rsidRPr="00966D6D" w:rsidRDefault="00966D6D" w:rsidP="00966D6D">
      <w:pPr>
        <w:rPr>
          <w:b/>
          <w:bCs/>
        </w:rPr>
      </w:pPr>
      <w:r w:rsidRPr="00966D6D">
        <w:rPr>
          <w:b/>
          <w:bCs/>
        </w:rPr>
        <w:t>4. Data Quality &amp; Assumptions</w:t>
      </w:r>
    </w:p>
    <w:p w14:paraId="1A95306F" w14:textId="77777777" w:rsidR="00966D6D" w:rsidRPr="00966D6D" w:rsidRDefault="00966D6D" w:rsidP="00966D6D">
      <w:pPr>
        <w:numPr>
          <w:ilvl w:val="0"/>
          <w:numId w:val="3"/>
        </w:numPr>
      </w:pPr>
      <w:r w:rsidRPr="00966D6D">
        <w:rPr>
          <w:b/>
          <w:bCs/>
        </w:rPr>
        <w:t>Time Period:</w:t>
      </w:r>
      <w:r w:rsidRPr="00966D6D">
        <w:t xml:space="preserve"> The analysis assumes a standard 12-month fiscal cycle (January to December).</w:t>
      </w:r>
    </w:p>
    <w:p w14:paraId="686FBFBB" w14:textId="77777777" w:rsidR="00966D6D" w:rsidRPr="00966D6D" w:rsidRDefault="00966D6D" w:rsidP="00966D6D">
      <w:pPr>
        <w:numPr>
          <w:ilvl w:val="0"/>
          <w:numId w:val="3"/>
        </w:numPr>
      </w:pPr>
      <w:r w:rsidRPr="00966D6D">
        <w:rPr>
          <w:b/>
          <w:bCs/>
        </w:rPr>
        <w:lastRenderedPageBreak/>
        <w:t>Data Integrity:</w:t>
      </w:r>
      <w:r w:rsidRPr="00966D6D">
        <w:t xml:space="preserve"> During the cleaning phase, "Product/Service" names were trimmed of whitespace to ensure accurate aggregation.</w:t>
      </w:r>
    </w:p>
    <w:p w14:paraId="221B459F" w14:textId="77777777" w:rsidR="00966D6D" w:rsidRPr="00966D6D" w:rsidRDefault="00966D6D" w:rsidP="00966D6D">
      <w:pPr>
        <w:numPr>
          <w:ilvl w:val="0"/>
          <w:numId w:val="3"/>
        </w:numPr>
      </w:pPr>
      <w:r w:rsidRPr="00966D6D">
        <w:rPr>
          <w:b/>
          <w:bCs/>
        </w:rPr>
        <w:t>Collections:</w:t>
      </w:r>
      <w:r w:rsidRPr="00966D6D">
        <w:t xml:space="preserve"> We assume a standard </w:t>
      </w:r>
      <w:r w:rsidRPr="00966D6D">
        <w:rPr>
          <w:b/>
          <w:bCs/>
        </w:rPr>
        <w:t>30-day collection cycle</w:t>
      </w:r>
      <w:r w:rsidRPr="00966D6D">
        <w:t xml:space="preserve"> is the company benchmark, which aligns with the current average aging of 28-30 days.</w:t>
      </w:r>
    </w:p>
    <w:p w14:paraId="4BB5E02E" w14:textId="396D5132" w:rsidR="00966D6D" w:rsidRPr="00966D6D" w:rsidRDefault="00966D6D" w:rsidP="00966D6D">
      <w:pPr>
        <w:numPr>
          <w:ilvl w:val="0"/>
          <w:numId w:val="3"/>
        </w:numPr>
      </w:pPr>
      <w:proofErr w:type="spellStart"/>
      <w:r w:rsidRPr="00966D6D">
        <w:rPr>
          <w:b/>
          <w:bCs/>
        </w:rPr>
        <w:t>Opex</w:t>
      </w:r>
      <w:proofErr w:type="spellEnd"/>
      <w:r w:rsidRPr="00966D6D">
        <w:rPr>
          <w:b/>
          <w:bCs/>
        </w:rPr>
        <w:t>:</w:t>
      </w:r>
      <w:r w:rsidRPr="00966D6D">
        <w:t xml:space="preserve"> Operating expenses were assumed to be fixed monthly costs as they show less volatility than COGS.</w:t>
      </w:r>
    </w:p>
    <w:p w14:paraId="1B66212D" w14:textId="77777777" w:rsidR="00966D6D" w:rsidRPr="00966D6D" w:rsidRDefault="00966D6D" w:rsidP="00966D6D">
      <w:pPr>
        <w:rPr>
          <w:b/>
          <w:bCs/>
        </w:rPr>
      </w:pPr>
      <w:r w:rsidRPr="00966D6D">
        <w:rPr>
          <w:b/>
          <w:bCs/>
        </w:rPr>
        <w:t>5. Recommendations</w:t>
      </w:r>
    </w:p>
    <w:p w14:paraId="3813745E" w14:textId="77777777" w:rsidR="00966D6D" w:rsidRPr="00966D6D" w:rsidRDefault="00966D6D" w:rsidP="00966D6D">
      <w:pPr>
        <w:numPr>
          <w:ilvl w:val="0"/>
          <w:numId w:val="4"/>
        </w:numPr>
      </w:pPr>
      <w:r w:rsidRPr="00966D6D">
        <w:rPr>
          <w:b/>
          <w:bCs/>
        </w:rPr>
        <w:t>Re-align Budgets:</w:t>
      </w:r>
      <w:r w:rsidRPr="00966D6D">
        <w:t xml:space="preserve"> Given the consistent $2M monthly revenue, the $31M annual budget should be reviewed and adjusted to reflect the current $24M run-rate.</w:t>
      </w:r>
    </w:p>
    <w:p w14:paraId="5D641CC1" w14:textId="77777777" w:rsidR="00966D6D" w:rsidRPr="00966D6D" w:rsidRDefault="00966D6D" w:rsidP="00966D6D">
      <w:pPr>
        <w:numPr>
          <w:ilvl w:val="0"/>
          <w:numId w:val="4"/>
        </w:numPr>
      </w:pPr>
      <w:r w:rsidRPr="00966D6D">
        <w:rPr>
          <w:b/>
          <w:bCs/>
        </w:rPr>
        <w:t>Product C Focus:</w:t>
      </w:r>
      <w:r w:rsidRPr="00966D6D">
        <w:t xml:space="preserve"> Since Product C is the top performer, consider allocating more marketing spend to this category to bridge the budget gap.</w:t>
      </w:r>
    </w:p>
    <w:p w14:paraId="64AFF373" w14:textId="77777777" w:rsidR="00966D6D" w:rsidRPr="00966D6D" w:rsidRDefault="00966D6D" w:rsidP="00966D6D">
      <w:pPr>
        <w:numPr>
          <w:ilvl w:val="0"/>
          <w:numId w:val="4"/>
        </w:numPr>
      </w:pPr>
      <w:r w:rsidRPr="00966D6D">
        <w:rPr>
          <w:b/>
          <w:bCs/>
        </w:rPr>
        <w:t>Invest Surplus:</w:t>
      </w:r>
      <w:r w:rsidRPr="00966D6D">
        <w:t xml:space="preserve"> With nearly $688k in net cash and no monthly deficits, the company is in a strong position to invest in R&amp;D or expansion without needing external financing.</w:t>
      </w:r>
    </w:p>
    <w:p w14:paraId="13E27D4D" w14:textId="77777777" w:rsidR="004D773A" w:rsidRDefault="004D773A"/>
    <w:sectPr w:rsidR="004D77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E7860"/>
    <w:multiLevelType w:val="multilevel"/>
    <w:tmpl w:val="AD0EA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4E3227"/>
    <w:multiLevelType w:val="multilevel"/>
    <w:tmpl w:val="98846B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24F66"/>
    <w:multiLevelType w:val="multilevel"/>
    <w:tmpl w:val="9104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C71254"/>
    <w:multiLevelType w:val="multilevel"/>
    <w:tmpl w:val="9D16E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62014754">
    <w:abstractNumId w:val="2"/>
  </w:num>
  <w:num w:numId="2" w16cid:durableId="1340740078">
    <w:abstractNumId w:val="1"/>
  </w:num>
  <w:num w:numId="3" w16cid:durableId="544214525">
    <w:abstractNumId w:val="0"/>
  </w:num>
  <w:num w:numId="4" w16cid:durableId="52410026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2C6"/>
    <w:rsid w:val="00245771"/>
    <w:rsid w:val="004D773A"/>
    <w:rsid w:val="006A407E"/>
    <w:rsid w:val="00921D3D"/>
    <w:rsid w:val="00966D6D"/>
    <w:rsid w:val="00A21B4E"/>
    <w:rsid w:val="00C809AA"/>
    <w:rsid w:val="00EC2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AD68B"/>
  <w15:chartTrackingRefBased/>
  <w15:docId w15:val="{0DA8DEFA-7DF0-427C-AEC4-4BE26A7A5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22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22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22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22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22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22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22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22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22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22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22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22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22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22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22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22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22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22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22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22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22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22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22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22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22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22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22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22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22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486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Ejaz Ahmed</dc:creator>
  <cp:keywords/>
  <dc:description/>
  <cp:lastModifiedBy>Ejaz Ahmed</cp:lastModifiedBy>
  <cp:revision>2</cp:revision>
  <dcterms:created xsi:type="dcterms:W3CDTF">2026-03-05T21:43:00Z</dcterms:created>
  <dcterms:modified xsi:type="dcterms:W3CDTF">2026-03-05T21:43:00Z</dcterms:modified>
</cp:coreProperties>
</file>