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RICHIESTA DI INTEGRAZIONE DOCUMENTALE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color w:val="5C5C5C"/>
          <w:sz w:val="21"/>
          <w:szCs w:val="21"/>
        </w:rPr>
        <w:t xml:space="preserve">Documenti e chiarimenti necessari al consolidamento del fascicolo</w:t>
      </w:r>
    </w:p>
    <w:p>
      <w:pPr>
        <w:spacing w:after="320" w:before="0" w:line="276"/>
        <w:jc w:val="center"/>
      </w:pPr>
      <w:r>
        <w:rPr>
          <w:rFonts w:ascii="Calibri" w:cs="Calibri" w:eastAsia="Calibri" w:hAnsi="Calibri"/>
          <w:i/>
          <w:iCs/>
          <w:color w:val="5C5C5C"/>
          <w:sz w:val="21"/>
          <w:szCs w:val="21"/>
        </w:rPr>
        <w:t xml:space="preserve">Procedimento di risoluzione contrattuale ex art. 108, co. 3, D.Lgs. 50/2016</w:t>
      </w:r>
    </w:p>
    <w:tbl>
      <w:tblPr>
        <w:tblW w:type="dxa" w:w="9638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FF4E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DESTINATARIO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 da completare — Direzione Lavori 3ing S.r.l., Ing. Jacopo Pellegrino ]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Per conoscenza: [ da completare ]</w:t>
            </w:r>
          </w:p>
        </w:tc>
      </w:tr>
    </w:tbl>
    <w:p>
      <w:pPr>
        <w:spacing w:after="24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2"/>
          <w:insideV w:val="single" w:color="B8B8B8" w:sz="2"/>
        </w:tblBorders>
      </w:tblPr>
      <w:tblGrid>
        <w:gridCol w:w="2900"/>
        <w:gridCol w:w="6738"/>
      </w:tblGrid>
      <w:tr>
        <w:tc>
          <w:tcPr>
            <w:tcW w:type="dxa" w:w="2900"/>
            <w:shd w:fill="EDF0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Oggetto lavori</w:t>
            </w:r>
          </w:p>
        </w:tc>
        <w:tc>
          <w:tcPr>
            <w:tcW w:type="dxa" w:w="673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Lavori di miglioramento sismico ed energetico, logistico-funzionale ed architettonico della sede del Comando Provinciale VV.F. di Pisa, Via Matteotti n. 1</w:t>
            </w:r>
          </w:p>
        </w:tc>
      </w:tr>
      <w:tr>
        <w:tc>
          <w:tcPr>
            <w:tcW w:type="dxa" w:w="29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Contratto</w:t>
            </w:r>
          </w:p>
        </w:tc>
        <w:tc>
          <w:tcPr>
            <w:tcW w:type="dxa" w:w="673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Rep. n. 7/23 del 16/05/2023</w:t>
            </w:r>
          </w:p>
        </w:tc>
      </w:tr>
      <w:tr>
        <w:tc>
          <w:tcPr>
            <w:tcW w:type="dxa" w:w="2900"/>
            <w:shd w:fill="EDF0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Perizia</w:t>
            </w:r>
          </w:p>
        </w:tc>
        <w:tc>
          <w:tcPr>
            <w:tcW w:type="dxa" w:w="673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n. 1071</w:t>
            </w:r>
          </w:p>
        </w:tc>
      </w:tr>
      <w:tr>
        <w:tc>
          <w:tcPr>
            <w:tcW w:type="dxa" w:w="29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CUP / CIG</w:t>
            </w:r>
          </w:p>
        </w:tc>
        <w:tc>
          <w:tcPr>
            <w:tcW w:type="dxa" w:w="673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D56J22000140001  /  9616784535</w:t>
            </w:r>
          </w:p>
        </w:tc>
      </w:tr>
      <w:tr>
        <w:tc>
          <w:tcPr>
            <w:tcW w:type="dxa" w:w="2900"/>
            <w:shd w:fill="EDF0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Impresa appaltatrice</w:t>
            </w:r>
          </w:p>
        </w:tc>
        <w:tc>
          <w:tcPr>
            <w:tcW w:type="dxa" w:w="673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SUPINO GROUP S.R.L. – Via G.B. Marino 7, Napoli – P.I. 06509991219</w:t>
            </w:r>
          </w:p>
        </w:tc>
      </w:tr>
      <w:tr>
        <w:tc>
          <w:tcPr>
            <w:tcW w:type="dxa" w:w="29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Direzione Lavori</w:t>
            </w:r>
          </w:p>
        </w:tc>
        <w:tc>
          <w:tcPr>
            <w:tcW w:type="dxa" w:w="673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3ing S.r.l. – Ing. Jacopo Pellegrino</w:t>
            </w:r>
          </w:p>
        </w:tc>
      </w:tr>
      <w:tr>
        <w:tc>
          <w:tcPr>
            <w:tcW w:type="dxa" w:w="2900"/>
            <w:shd w:fill="EDF0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RUP</w:t>
            </w:r>
          </w:p>
        </w:tc>
        <w:tc>
          <w:tcPr>
            <w:tcW w:type="dxa" w:w="673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Arch. Michele Mariani</w:t>
            </w:r>
          </w:p>
        </w:tc>
      </w:tr>
      <w:tr>
        <w:tc>
          <w:tcPr>
            <w:tcW w:type="dxa" w:w="29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Procedimento di riferimento</w:t>
            </w:r>
          </w:p>
        </w:tc>
        <w:tc>
          <w:tcPr>
            <w:tcW w:type="dxa" w:w="673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Risoluzione contrattuale per grave inadempimento ex art. 108, co. 3, D.Lgs. 50/2016</w:t>
            </w:r>
          </w:p>
        </w:tc>
      </w:tr>
      <w:tr>
        <w:tc>
          <w:tcPr>
            <w:tcW w:type="dxa" w:w="2900"/>
            <w:shd w:fill="EDF0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Data della richiesta</w:t>
            </w:r>
          </w:p>
        </w:tc>
        <w:tc>
          <w:tcPr>
            <w:tcW w:type="dxa" w:w="673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09 settembre 2026</w:t>
            </w:r>
          </w:p>
        </w:tc>
      </w:tr>
      <w:tr>
        <w:tc>
          <w:tcPr>
            <w:tcW w:type="dxa" w:w="29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Ns. riferimento</w:t>
            </w:r>
          </w:p>
        </w:tc>
        <w:tc>
          <w:tcPr>
            <w:tcW w:type="dxa" w:w="673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VER-VVF-PI/2026/RID-001</w:t>
            </w:r>
          </w:p>
        </w:tc>
      </w:tr>
    </w:tbl>
    <w:p>
      <w:pPr>
        <w:spacing w:after="30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 PREMESSA E OGGETTO DELLA RICHIESTA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È stata condotta la verifica di coerenza formale, documentale e procedurale sui seguenti atti: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Relazione di grave inadempimento contrattuale e proposta di risoluzione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(09/09/2026),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Ordine di Servizio n. 20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(09/09/2026),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lettera di contestazione formale dello stato dei lavori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(09/09/2026) 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Relazione Fotografica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(69 fotografie).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 verifica ha accertato che il fascicolo, nella sua composizione attuale, non è ancora completo rispetto ai requisiti di contenuto posti dall'art. 108, co. 3, D.Lgs. 50/2016 e presenta incongruenze interne che sarebbero utilizzabili dall'Impresa in sede di controdeduzioni, davanti al giudice e in sede ANAC.</w:t>
      </w:r>
    </w:p>
    <w:p>
      <w:pPr>
        <w:spacing w:after="20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 la presente si richiedono pertanto i documenti e i chiarimenti elencati nelle sezioni che seguono. Ciascuna voce riporta la finalità e il rilievo cui si collega, così da rendere immediatamente valutabile che cosa comporti la mancata acquisizione.</w:t>
      </w:r>
    </w:p>
    <w:tbl>
      <w:tblPr>
        <w:tblW w:type="dxa" w:w="9638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EDF0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LEGENDA DELLE PRIORITÀ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Bloccante. Da acquisire prima della trasmissione della relazione al RUP: in assenza, l'atto è impugnabile o l'addebito è indimostrabile.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Necessario per la quantificazione economica del danno e delle detrazioni.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P3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Utile a rafforzare l'impianto probatorio, non indispensabile.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 ATTI DELLA DIREZIONE LAVORI E CORRISPONDENZA</w:t>
      </w:r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Gli allegati da A a L elencati in calce alla Relazione non sono stati resi disponibili per la verifica. Si richiedono in copia integrale, con particolare urgenza per le voci seguenti.</w:t>
      </w:r>
    </w:p>
    <w:tbl>
      <w:tblPr>
        <w:tblW w:type="dxa" w:w="9638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2"/>
          <w:insideV w:val="single" w:color="B8B8B8" w:sz="2"/>
        </w:tblBorders>
      </w:tblPr>
      <w:tblGrid>
        <w:gridCol w:w="800"/>
        <w:gridCol w:w="3130"/>
        <w:gridCol w:w="4508"/>
        <w:gridCol w:w="12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313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dato richiesto</w:t>
            </w:r>
          </w:p>
        </w:tc>
        <w:tc>
          <w:tcPr>
            <w:tcW w:type="dxa" w:w="4508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Finalità e rilievo collegato</w:t>
            </w:r>
          </w:p>
        </w:tc>
        <w:tc>
          <w:tcPr>
            <w:tcW w:type="dxa" w:w="1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Ordine di Servizio n. 19 – copia integrale, con data di emissione e stato di adempimento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L'OdS n. 19 è citato come fonte della contestazione in due righe della Tabella riepilogativa e al § 4.1 della Relazione, ma la riga corrispondente della cronistoria è vuota. Senza il documento la contestazione su strutture metalliche sulla guaina e inghisaggi resta priva di atto presupposto.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Copia integrale degli OdS nn. 1-20 con ricevute di trasmissione (PEC) e date di notifica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La cronistoria riporta solo l'oggetto. Per provare l'inadempimento occorre dimostrare che ciascun ordine è stato ricevuto e che il termine assegnato è scaduto.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Data esatta di emissione dell'OdS n. 4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In cronistoria è indicato solo «Set. 2025». Il § 6 della Relazione calcola le penali «dalla data di ciascun inadempimento»: senza data non è quantificabile.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1.4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Chiarimento sulla successione cronologica degli OdS nn. 13, 14 e 15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Le date in cronistoria non sono progressive (n. 12 del 03/02/2026, n. 13 del 04/03/2026, n. 14 del 11/02/2026, n. 15 del 04/02/2026). L'anomalia è utilizzabile dalla controparte per contestare la formazione del registro.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1.5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Riscontri, controdeduzioni e riserve dell'Impresa a ciascun OdS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Necessari per qualificare correttamente ogni voce come «inadempiuta», «parzialmente adempiuta» o «contestata», e per dare conto del contraddittorio già svolto.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1.6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Verbali di sopralluogo (Allegato E della Relazione)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Citati fra gli allegati ma non prodotti.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1.7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Messa in mora del 05/05/2026 e comunicazioni precedenti (Allegato C)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Citata come atto presupposto in tutti e tre i documenti; non disponibile agli atti esaminati.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1.8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Contestazione della contabilità VMV del 05/07/2026 (Allegato D)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Fonda l'addebito di € 56.752,03 richiamato al § 7 della Relazione.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1.9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Comunicazione del Comando VV.F. di Pisa del 27/09/2025 e successive (Allegato H)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Documenta il pregiudizio alla funzionalità del presidio, elemento centrale della gravità dell'inadempimento.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1.10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 bolle DDT dei materiali con annotazioni della DL (Allegato F)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Sostengono l'addebito di impiego sistematico di materiali non accettati dalla DL.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1.11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Quadro comparativo contabilità DL / Supino Group / VMV (Allegato G)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Necessario per la stima dei lavori regolarmente eseguiti (v. punto 2.6).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</w:tbl>
    <w:p>
      <w:pPr>
        <w:spacing w:after="24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 DOCUMENTI CONTRATTUALI, CONTABILI E DI PROGETTO</w:t>
      </w:r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Nessuno dei documenti esaminati riporta i dati economici e temporali del contratto. È la lacuna che più incide sulla tenuta della proposta di risoluzione.</w:t>
      </w:r>
    </w:p>
    <w:tbl>
      <w:tblPr>
        <w:tblW w:type="dxa" w:w="9638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2"/>
          <w:insideV w:val="single" w:color="B8B8B8" w:sz="2"/>
        </w:tblBorders>
      </w:tblPr>
      <w:tblGrid>
        <w:gridCol w:w="800"/>
        <w:gridCol w:w="3130"/>
        <w:gridCol w:w="4508"/>
        <w:gridCol w:w="12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313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dato richiesto</w:t>
            </w:r>
          </w:p>
        </w:tc>
        <w:tc>
          <w:tcPr>
            <w:tcW w:type="dxa" w:w="4508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Finalità e rilievo collegato</w:t>
            </w:r>
          </w:p>
        </w:tc>
        <w:tc>
          <w:tcPr>
            <w:tcW w:type="dxa" w:w="1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2.1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Contratto Rep. n. 7/23 del 16/05/2023 e Capitolato Speciale d'Appalto integrali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Nessuno dei documenti esaminati riporta il contenuto contrattuale. Serve per verificare quali obblighi si assumono violati.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2.2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Importo contrattuale netto, oneri della sicurezza non soggetti a ribasso, importo della perizia n. 1071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Dati assenti dall'intero corpus. Servono a dimensionare la gravità dell'inadempimento e il tetto delle penali.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2.3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Clausola del CSA in materia di penali: misura giornaliera, tetto massimo, presupposti di applicazione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Il § 6 della Relazione applica le penali ex art. 113-bis D.Lgs. 50/2016 «dalla data di ciascun inadempimento» agli OdS. L'art. 113-bis riguarda il ritardo nell'esecuzione: senza una clausola che preveda penali per singolo ordine di servizio, l'impostazione è contestabile.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2.4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Verbale di consegna dei lavori, termine di ultimazione, proroghe concesse, verbali di sospensione e ripresa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L'intero corpus non contiene alcun dato temporale contrattuale. In una risoluzione per grave inadempimento il ritardo maturato è normalmente l'elemento portante e oggi manca del tutto.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2.5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Cronoprogramma contrattuale e ultimo aggiornamento approvato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Serve a dimostrare lo scostamento fra avanzamento previsto ed effettivo.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2.6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 emessi, certificati di pagamento, importo contabilizzato e liquidato ad oggi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L'art. 108, co. 3, D.Lgs. 50/2016 impone che la relazione indichi la stima dei lavori eseguiti regolarmente. Il § 6 rinvia a un documento separato «in corso»: finché non è prodotta, la relazione è incompleta rispetto alla norma che invoca.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2.7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Estratti del Progetto Esecutivo (tavole, computo metrico, elenco prezzi) limitatamente a: linea vita copertura Ed. 6; punti luce e apparecchi illuminanti con grado IP richiesto; colore delle facciate e fondo fissativo; porte interne; impianto gas e caldaia preesistente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Sono esattamente gli addebiti che oggi non trovano riscontro né in un OdS né in una fotografia. Senza l'estratto di progetto non sono dimostrabili.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2.8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Elaborato che identifica la numerazione degli edifici (Ed. 1 … Ed. 6) con destinazione dei locali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I tre documenti si contraddicono fra Ed. 1 ed Ed. 6 (v. § 6.2 della presente richiesta). Serve la chiave di lettura ufficiale.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2.9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Polizza della cauzione definitiva: massimale, scadenza, garante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Il § 8.4 della Relazione ne propone l'escussione integrale.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2.10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Autorizzazione al subappalto a favore di VMV Costruzioni e relativo contratto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La Relazione qualifica VMV come subappaltatrice; l'OdS n. 20 la tratta come impresa autonoma. Va chiarito il rapporto giuridico.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2.11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Registro di contabilità: riserve iscritte dall'Impresa ai sensi dell'art. 205 D.Lgs. 50/2016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Eventuali riserve già iscritte cambiano la strategia difensiva e vanno conosciute prima di trasmettere la relazione al RUP.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</w:tbl>
    <w:p>
      <w:pPr>
        <w:spacing w:after="24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 SICUREZZA E COORDINAMENTO</w:t>
      </w:r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Il fascicolo contesta ripetutamente violazioni del D.Lgs. 81/2008 senza che risulti agli atti alcun intervento del Coordinatore per la Sicurezza in fase di Esecuzione.</w:t>
      </w:r>
    </w:p>
    <w:tbl>
      <w:tblPr>
        <w:tblW w:type="dxa" w:w="9638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2"/>
          <w:insideV w:val="single" w:color="B8B8B8" w:sz="2"/>
        </w:tblBorders>
      </w:tblPr>
      <w:tblGrid>
        <w:gridCol w:w="800"/>
        <w:gridCol w:w="3130"/>
        <w:gridCol w:w="4508"/>
        <w:gridCol w:w="12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313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dato richiesto</w:t>
            </w:r>
          </w:p>
        </w:tc>
        <w:tc>
          <w:tcPr>
            <w:tcW w:type="dxa" w:w="4508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Finalità e rilievo collegato</w:t>
            </w:r>
          </w:p>
        </w:tc>
        <w:tc>
          <w:tcPr>
            <w:tcW w:type="dxa" w:w="1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3.1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Nominativo del Coordinatore per la Sicurezza in fase di Esecuzione e copia integrale dei suoi atti: verbali di visita, contestazioni, sospensioni, comunicazioni ex art. 92 D.Lgs. 81/2008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Ponteggio non conforme, bombole di gas abbandonate, cavi elettrici scoperti e mancata installazione della linea vita sono materia del CSE. Nel corpus non compare alcun atto del Coordinatore: è la lacuna più evidente sul fronte sicurezza.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3.2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PSC e POS di Supino Group e VMV, con tutti gli aggiornamenti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L'OdS n. 10 contesta il POS: serve la versione contestata e quella eventualmente trasmessa in riscontro.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3.3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Libretto del ponteggio, PiMUS e progetto del ponteggio ove fuori schema tipo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L'OdS n. 20 afferma la non conformità «al libretto» e nega il corrispettivo economico: entrambe le affermazioni vanno documentate.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3.4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Eventuali segnalazioni o verbali di ASL, Ispettorato Territoriale del Lavoro o Vigili del Fuoco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Un accertamento di un organo di vigilanza è la prova più solida delle violazioni ex D.Lgs. 81/2008 contestate.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3.5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Notifica preliminare e successivi aggiornamenti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Serve a identificare le imprese formalmente presenti in cantiere nei periodi contestati.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P3</w:t>
            </w:r>
          </w:p>
        </w:tc>
      </w:tr>
    </w:tbl>
    <w:p>
      <w:pPr>
        <w:spacing w:after="24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 INAGIBILITÀ DEI LOCALI E STATO DEI LUOGHI</w:t>
      </w:r>
    </w:p>
    <w:tbl>
      <w:tblPr>
        <w:tblW w:type="dxa" w:w="9638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2"/>
          <w:insideV w:val="single" w:color="B8B8B8" w:sz="2"/>
        </w:tblBorders>
      </w:tblPr>
      <w:tblGrid>
        <w:gridCol w:w="800"/>
        <w:gridCol w:w="3130"/>
        <w:gridCol w:w="4508"/>
        <w:gridCol w:w="12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313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dato richiesto</w:t>
            </w:r>
          </w:p>
        </w:tc>
        <w:tc>
          <w:tcPr>
            <w:tcW w:type="dxa" w:w="4508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Finalità e rilievo collegato</w:t>
            </w:r>
          </w:p>
        </w:tc>
        <w:tc>
          <w:tcPr>
            <w:tcW w:type="dxa" w:w="1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4.1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Atto formale con cui gli ambienti sono stati dichiarati non agibili: autorità emanante, data, protocollo, estensione dell'inagibilità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I documenti usano la forma passiva («ambienti dichiarati temporaneamente non agibili») senza indicare da chi. L'inagibilità è dichiarata dall'autorità competente, non dalla Direzione Lavori: senza l'atto, l'affermazione più grave dell'intero fascicolo resta non provata.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4.2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Comunicazioni del Comando VV.F. sulla sospensione delle attività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L'OdS n. 20 parla di «sospensione di tutte le attività del Comando», la Relazione di «inagibilità di un'aula». Le due affermazioni non sono compatibili e va stabilito quale è documentata.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4.3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Eventuali analisi, campionamenti o relazioni tecniche sulle muffe e sull'umidità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Trasformano un rilievo visivo in un accertamento tecnico, e sostengono la voce di danno per la bonifica.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</w:tr>
    </w:tbl>
    <w:p>
      <w:pPr>
        <w:spacing w:after="24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 CORREDO FOTOGRAFICO</w:t>
      </w:r>
    </w:p>
    <w:tbl>
      <w:tblPr>
        <w:tblW w:type="dxa" w:w="9638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2"/>
          <w:insideV w:val="single" w:color="B8B8B8" w:sz="2"/>
        </w:tblBorders>
      </w:tblPr>
      <w:tblGrid>
        <w:gridCol w:w="800"/>
        <w:gridCol w:w="3130"/>
        <w:gridCol w:w="4508"/>
        <w:gridCol w:w="12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313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dato richiesto</w:t>
            </w:r>
          </w:p>
        </w:tc>
        <w:tc>
          <w:tcPr>
            <w:tcW w:type="dxa" w:w="4508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Finalità e rilievo collegato</w:t>
            </w:r>
          </w:p>
        </w:tc>
        <w:tc>
          <w:tcPr>
            <w:tcW w:type="dxa" w:w="1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5.1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File originali delle fotografie con metadati EXIF integri (data e ora di scatto)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Le fotografie prodotte non recano data di scatto né identificazione del locale. È la principale debolezza del corredo probatorio in vista di un contenzioso.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5.2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Chiarimento sulla Foto 3 della Relazione Fotografica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Le didascalie passano da «Foto 1-2» a «Foto 4-5-6»: la Foto 3 non esiste. Di conseguenza le fotografie effettivamente presenti sono 69, mentre la Relazione ne dichiara 70 in cinque punti diversi.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5.3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Didascalie delle due immagini prive di numerazione a pag. 19 della Relazione Fotografica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Due fotografie sono prive di didascalia e di numero: allo stato sono inutilizzabili come prova.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5.4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 due immagini mancanti del gruppo «Foto 62-63-64-65»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La didascalia annuncia quattro fotografie ma le immagini presenti sono due. Il § 4.5 e la tabella riepilogativa citano «Foto 62-65» a sostegno dell'addebito sull'intonaco armato GFRP ex art. 1669 c.c.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5.5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Fotografie del sopralluogo dell'08/09/2026 in alta risoluzione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Le immagini allegate all'OdS n. 20 e alla lettera misurano 212×379 e 259×345 pixel: a stampa sono al limite dell'inutilizzabile per documentare muffe e dettagli esecutivi.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5.6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Autore e data della Relazione Fotografica, da riportare in frontespizio, e planimetria con i punti di ripresa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Il documento non reca data né firma; nei metadati del file risultano l'autore «Fabrizio Mariani» e la data di creazione 05/05/2026, mentre la Relazione la attribuisce a 3ing S.r.l.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</w:tbl>
    <w:p>
      <w:pPr>
        <w:spacing w:after="24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 CHIARIMENTI RICHIESTI ALLA DIREZIONE LAVORI</w:t>
      </w:r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Le voci che seguono non richiedono la produzione di un documento ma una presa di posizione della DL, necessaria per correggere i testi prima dell'invio.</w:t>
      </w:r>
    </w:p>
    <w:tbl>
      <w:tblPr>
        <w:tblW w:type="dxa" w:w="9638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2"/>
          <w:insideV w:val="single" w:color="B8B8B8" w:sz="2"/>
        </w:tblBorders>
      </w:tblPr>
      <w:tblGrid>
        <w:gridCol w:w="800"/>
        <w:gridCol w:w="3130"/>
        <w:gridCol w:w="4508"/>
        <w:gridCol w:w="12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313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dato richiesto</w:t>
            </w:r>
          </w:p>
        </w:tc>
        <w:tc>
          <w:tcPr>
            <w:tcW w:type="dxa" w:w="4508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Finalità e rilievo collegato</w:t>
            </w:r>
          </w:p>
        </w:tc>
        <w:tc>
          <w:tcPr>
            <w:tcW w:type="dxa" w:w="1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6.1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Di quale elemento costruttivo si tratta con il termine «brindosbarra»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Il termine compare nell'OdS n. 20 (§ 2.4) e nella lettera (§ e) ma non è riconducibile ad alcun elemento tecnico identificabile. Una prescrizione formulata su un elemento non identificabile è ineseguibile e quindi inopponibile all'Impresa.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6.2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Come si documenta il nesso causale fra la copertura dell'Ed. 6 e le muffe rilevate al piano terra dell'Ed. 1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Le fotografie sono didascalizzate «Ed 1 Piano Terra», mentre la Relazione (§§ 4.1 e 6) attribuisce la causa alla copertura dell'Ed. 6. Inoltre la Foto 6 descrive umidità «in posizione bassa di parete» attribuendola a infiltrazione dalla copertura: la collocazione bassa indica piuttosto risalita capillare o perdita impiantistica. È il primo punto che verrà attaccato.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6.3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Prescrizione corretta da associare alla non conformità 2.2 dell'OdS n. 20 (tubazione gas che attraversa muratura portante)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La prescrizione attualmente riportata impone di «completare la chiusura delle partizioni con lastre di cartongesso, previa verifica di tenuta idraulica»: non ha alcuna attinenza con la non conformità contestata e appare riportata da un altro ordine di servizio.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6.4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Conteggio definitivo e concordato degli OdS emessi e di quelli inadempiuti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Il corpus fornisce quattro dati diversi: Relazione § 3 (17 inadempiuti + 1 in ritardo + 2 adempiuti = 20 su 19 dichiarati); cronistoria (16 inadempiuti, 1 riga vuota); box riepilogativo (17 su 19); lettera al Comando (15 su 19).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6.5</w:t>
            </w:r>
          </w:p>
        </w:tc>
        <w:tc>
          <w:tcPr>
            <w:tcW w:type="dxa" w:w="313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Documentazione a supporto degli addebiti su linea vita, punti luce/grado IP e imbiancatura esterna</w:t>
            </w:r>
          </w:p>
        </w:tc>
        <w:tc>
          <w:tcPr>
            <w:tcW w:type="dxa" w:w="45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Sono tre addebiti gravi — il primo classificato «CRITICA – SICUREZZA» — per i quali non risulta emesso alcun OdS né esiste documentazione fotografica. Il § 4.4 li dice «già contestati», ma la cronistoria non lo conferma.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6.6</w:t>
            </w:r>
          </w:p>
        </w:tc>
        <w:tc>
          <w:tcPr>
            <w:tcW w:type="dxa" w:w="313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Conferma sulle fotografie raccolte e non utilizzate</w:t>
            </w:r>
          </w:p>
        </w:tc>
        <w:tc>
          <w:tcPr>
            <w:tcW w:type="dxa" w:w="4508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5C5C5C"/>
                <w:sz w:val="18"/>
                <w:szCs w:val="18"/>
              </w:rPr>
              <w:t xml:space="preserve">Non sono richiamate in alcun documento le Foto 25-26 (macchia d'acqua e umidità da infiltrazione), 48 (guaina non protetta), 52, 58-61 (assenza di tassellatura, pertinente al capo «inghisaggi»), 30, 38, 39, 40, 57 e 66-67. Va deciso se valorizzarle.</w:t>
            </w:r>
          </w:p>
        </w:tc>
        <w:tc>
          <w:tcPr>
            <w:tcW w:type="dxa" w:w="1200"/>
            <w:shd w:fill="F7F8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</w:tr>
    </w:tbl>
    <w:p>
      <w:pPr>
        <w:spacing w:after="26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 AVVERTENZA SUI TEMPI</w:t>
      </w:r>
    </w:p>
    <w:tbl>
      <w:tblPr>
        <w:tblW w:type="dxa" w:w="9638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D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Il fascicolo contiene una contraddizione che va sciolta prima di ogni altra cosa.</w:t>
            </w:r>
          </w:p>
          <w:p>
            <w:pPr>
              <w:spacing w:after="100" w:before="1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L'Ordine di Servizio n. 20, emesso il 09/09/2026, convoca il sopralluogo in contraddittorio per venerdì 18 settembre 2026; la lettera di pari data assegna 48 ore per il riscontro. La Relazione, anch'essa datata 09/09/2026, classifica però lo stesso OdS n. 20 come «Inadempiente – nessun riscontro» e propone la risoluzione del contratto.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 i tre atti vengono trasmessi insieme, l'Impresa eccepirà che la risoluzione è stata proposta prima della scadenza del termine assegnato dalla Direzione Lavori stessa. La sequenza degli atti va quindi definita contestualmente alla raccolta della documentazione qui richiesta.</w:t>
            </w:r>
          </w:p>
        </w:tc>
      </w:tr>
    </w:tbl>
    <w:p>
      <w:pPr>
        <w:spacing w:after="26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  MODALITÀ E TERMINE DI RISCONTRO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0"/>
          <w:szCs w:val="20"/>
        </w:rPr>
        <w:t xml:space="preserve">Si richiede la trasmissione in formato digitale, mantenendo per ogni file la denominazione e la numerazione utilizzate nella presente richiesta (es. «1.1 – OdS 19.pdf»).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0"/>
          <w:szCs w:val="20"/>
        </w:rPr>
        <w:t xml:space="preserve">Per le fotografie si richiedono i file originali non ricompressi, con metadati EXIF integri.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0"/>
          <w:szCs w:val="20"/>
        </w:rPr>
        <w:t xml:space="preserve">Le voci contrassegnate P1 sono richieste con precedenza: senza di esse la revisione dei documenti non può essere completata.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0"/>
          <w:szCs w:val="20"/>
        </w:rPr>
        <w:t xml:space="preserve">Ove un documento non esista, si richiede di darne atto espressamente: l'assenza è essa stessa un dato rilevante per la strategia da adottare.</w:t>
      </w:r>
    </w:p>
    <w:p>
      <w:pPr>
        <w:pStyle w:val="ListParagraph"/>
        <w:numPr>
          <w:ilvl w:val="0"/>
          <w:numId w:val="2"/>
        </w:numPr>
        <w:spacing w:after="24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Termine richiesto per il riscontro: [ da completare ].</w:t>
      </w:r>
    </w:p>
    <w:p>
      <w:pPr>
        <w:spacing w:after="40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pacing w:after="400" w:before="0" w:line="276"/>
      </w:pPr>
      <w:r>
        <w:rPr>
          <w:rFonts w:ascii="Calibri" w:cs="Calibri" w:eastAsia="Calibri" w:hAnsi="Calibri"/>
          <w:color w:val="5C5C5C"/>
          <w:sz w:val="20"/>
          <w:szCs w:val="20"/>
        </w:rPr>
        <w:t xml:space="preserve">Luogo e data  ____________________________</w:t>
      </w:r>
    </w:p>
    <w:p>
      <w:pPr>
        <w:spacing w:after="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</w:t>
      </w:r>
    </w:p>
    <w:p>
      <w:pPr>
        <w:spacing w:after="0"/>
        <w:jc w:val="right"/>
      </w:pPr>
      <w:r>
        <w:rPr>
          <w:rFonts w:ascii="Calibri" w:cs="Calibri" w:eastAsia="Calibri" w:hAnsi="Calibri"/>
          <w:color w:val="5C5C5C"/>
          <w:sz w:val="19"/>
          <w:szCs w:val="19"/>
        </w:rPr>
        <w:t xml:space="preserve">[ qualifica e nominativo del richiedente ]</w:t>
      </w:r>
    </w:p>
    <w:sectPr>
      <w:pgSz w:w="11906" w:h="16838" w:orient="portrait"/>
      <w:pgMar w:top="1247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Richiesta di integrazione documentale – Comando VV.F. Pisa</dc:title>
  <dc:creator>Verifica documentale</dc:creator>
  <dc:description>Elenco dei documenti e dei chiarimenti necessari al consolidamento del fascicolo di risoluzione contrattuale</dc:description>
  <cp:lastModifiedBy>Un-named</cp:lastModifiedBy>
  <cp:revision>1</cp:revision>
  <dcterms:created xsi:type="dcterms:W3CDTF">2026-09-09T17:05:00.177Z</dcterms:created>
  <dcterms:modified xsi:type="dcterms:W3CDTF">2026-09-09T17:05:00.177Z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