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3A5C"/>
          <w:spacing w:val="60"/>
          <w:sz w:val="22"/>
          <w:szCs w:val="22"/>
        </w:rPr>
        <w:t xml:space="preserve">RETE MASTERPLAN</w:t>
      </w:r>
    </w:p>
    <w:p>
      <w:pPr>
        <w:pBdr>
          <w:bottom w:val="single" w:color="8A6D3B" w:sz="12" w:space="8"/>
        </w:pBdr>
        <w:spacing w:after="320"/>
      </w:pPr>
      <w:r>
        <w:rPr>
          <w:rFonts w:ascii="Calibri" w:cs="Calibri" w:eastAsia="Calibri" w:hAnsi="Calibri"/>
          <w:color w:val="5A6672"/>
          <w:sz w:val="19"/>
          <w:szCs w:val="19"/>
        </w:rPr>
        <w:t xml:space="preserve">Engineering &amp; Infrastructure Network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3A5C"/>
          <w:sz w:val="40"/>
          <w:szCs w:val="40"/>
        </w:rPr>
        <w:t xml:space="preserve">Quadro normativo</w:t>
      </w:r>
    </w:p>
    <w:p>
      <w:pPr>
        <w:spacing w:after="100"/>
      </w:pPr>
      <w:r>
        <w:rPr>
          <w:rFonts w:ascii="Calibri" w:cs="Calibri" w:eastAsia="Calibri" w:hAnsi="Calibri"/>
          <w:color w:val="2A3340"/>
          <w:sz w:val="26"/>
          <w:szCs w:val="26"/>
        </w:rPr>
        <w:t xml:space="preserve">Le reti di società di ingegneria negli appalti pubblici: fonti europee, fonti nazionali e criteri di partecipazione alle gare italiane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Ricognizione delle fonti · Giurisprudenza euro-unitaria e nazionale · Checklist dei criteri di ammissione · Questioni aperte e argomenti difensivi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settembre 2026</w:t>
            </w:r>
          </w:p>
        </w:tc>
      </w:tr>
      <w:tr>
        <w:tc>
          <w:tcPr>
            <w:tcW w:type="dxa" w:w="24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Predisposta da</w:t>
            </w:r>
          </w:p>
        </w:tc>
        <w:tc>
          <w:tcPr>
            <w:tcW w:type="dxa" w:w="72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Ing. Giampiero De Michelis — Manager di Rete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Oggetto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Ricognizione delle norme europee e nazionali che governano la partecipazione delle reti di imprese, e in particolare delle reti di società di ingegneria, alle procedure di affidamento di servizi di architettura e ingegneria.</w:t>
            </w:r>
          </w:p>
        </w:tc>
      </w:tr>
      <w:tr>
        <w:tc>
          <w:tcPr>
            <w:tcW w:type="dxa" w:w="24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Perimetro</w:t>
            </w:r>
          </w:p>
        </w:tc>
        <w:tc>
          <w:tcPr>
            <w:tcW w:type="dxa" w:w="72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Gare nazionali. La dimensione internazionale — appalti UE fuori dall’Italia, istituzioni finanziarie internazionali, mercati terzi — è rinviata a una seconda ricognizione.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Documento collegato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«Relazione per la riunione della Rete — Requisiti di partecipazione delle reti di società di ingegneria alle gare pubbliche italiane», di pari data, che applica questo quadro al caso Masterplan.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DCE4EC" w:sz="4"/>
          <w:left w:val="single" w:color="8A6D3B" w:sz="24"/>
          <w:bottom w:val="single" w:color="DCE4EC" w:sz="4"/>
          <w:right w:val="single" w:color="DCE4E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2F6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Avvertenza sulle fonti</w:t>
            </w:r>
          </w:p>
          <w:p>
            <w:pPr>
              <w:spacing w:after="60" w:line="264"/>
              <w:jc w:val="both"/>
            </w:pPr>
            <w:r>
              <w:rPr>
                <w:rFonts w:ascii="Calibri" w:cs="Calibri" w:eastAsia="Calibri" w:hAnsi="Calibri"/>
                <w:color w:val="2A3340"/>
                <w:sz w:val="19"/>
                <w:szCs w:val="19"/>
              </w:rPr>
              <w:t xml:space="preserve">Le norme, le sentenze e gli atti citati sono stati riscontrati attraverso ricerca su fonti professionali e istituzionali secondarie. Non è stato possibile, in questa sede, accedere direttamente ai testi ufficiali su Normattiva, EUR-Lex, CURIA e sul portale ANAC.</w:t>
            </w:r>
          </w:p>
          <w:p>
            <w:pPr>
              <w:spacing w:after="60" w:line="264"/>
              <w:jc w:val="both"/>
            </w:pPr>
            <w:r>
              <w:rPr>
                <w:rFonts w:ascii="Calibri" w:cs="Calibri" w:eastAsia="Calibri" w:hAnsi="Calibri"/>
                <w:color w:val="2A3340"/>
                <w:sz w:val="19"/>
                <w:szCs w:val="19"/>
              </w:rPr>
              <w:t xml:space="preserve">Prima di qualunque uso esterno — memoria difensiva, istanza di chiarimento, parere — estremi e testo letterale vanno riverificati sulla fonte ufficiale. Il documento è una mappa delle fonti e degli argomenti, non un parere legale.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80" w:before="380"/>
      </w:pPr>
      <w:r>
        <w:rPr>
          <w:rFonts w:ascii="Calibri" w:cs="Calibri" w:eastAsia="Calibri" w:hAnsi="Calibri"/>
          <w:b/>
          <w:bCs/>
          <w:color w:val="1A3A5C"/>
          <w:sz w:val="30"/>
          <w:szCs w:val="30"/>
        </w:rP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3A5C" w:sz="8" w:space="6"/>
        </w:pBdr>
        <w:spacing w:after="180" w:before="380"/>
      </w:pPr>
      <w:r>
        <w:rPr>
          <w:rFonts w:ascii="Calibri" w:cs="Calibri" w:eastAsia="Calibri" w:hAnsi="Calibri"/>
          <w:b/>
          <w:bCs/>
          <w:color w:val="1A3A5C"/>
          <w:sz w:val="30"/>
          <w:szCs w:val="30"/>
        </w:rPr>
        <w:t xml:space="preserve">Parte I — Il livello europeo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1.1  Le direttive appalti del 2014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disciplina degli appalti pubblici nell’Unione poggia su tre direttive del 26 febbraio 2014, recepite in Italia con il D.Lgs. 50/2016 e oggi con il D.Lgs. 36/2023.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100"/>
        <w:gridCol w:w="3100"/>
        <w:gridCol w:w="4438"/>
      </w:tblGrid>
      <w:tr>
        <w:trPr>
          <w:tblHeader/>
        </w:trPr>
        <w:tc>
          <w:tcPr>
            <w:tcW w:type="dxa" w:w="21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Direttiva</w:t>
            </w:r>
          </w:p>
        </w:tc>
        <w:tc>
          <w:tcPr>
            <w:tcW w:type="dxa" w:w="31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Ambito</w:t>
            </w:r>
          </w:p>
        </w:tc>
        <w:tc>
          <w:tcPr>
            <w:tcW w:type="dxa" w:w="44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Rilievo per la Rete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2014/24/UE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Settori ordinari: amministrazioni aggiudicatrici, enti locali, centrali di committenza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È la cornice delle gare di Regione Campania, Agenzia del Demanio, Consip, Invitalia, ANAS. Contiene le norme sui raggruppamenti e sulla nozione di operatore economico</w:t>
            </w:r>
          </w:p>
        </w:tc>
      </w:tr>
      <w:tr>
        <w:tc>
          <w:tcPr>
            <w:tcW w:type="dxa" w:w="21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2014/25/UE</w:t>
            </w:r>
          </w:p>
        </w:tc>
        <w:tc>
          <w:tcPr>
            <w:tcW w:type="dxa" w:w="31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Settori speciali: acqua, energia, trasporti, servizi postali</w:t>
            </w:r>
          </w:p>
        </w:tc>
        <w:tc>
          <w:tcPr>
            <w:tcW w:type="dxa" w:w="44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È la cornice di RFI, Italferr, Terna, Snam, gestori idrici. Consente i sistemi di qualificazione, che sono la porta d’accesso a quelle committenze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2014/23/UE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Concessioni di lavori e servizi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Rilevante per il project financing e per le iniziative in concessione previste dall’art. 5 del contratto di rete</w:t>
            </w:r>
          </w:p>
        </w:tc>
      </w:tr>
    </w:tbl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1.2  Il principio di neutralità della forma giuridica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È il principio più importante di tutto questo quadro, perché è l’argomento europeo su cui una rete può fondare la propria legittimazione a concorrere. Si articola in tre disposizioni della direttiva 2014/24/UE.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Considerando 14.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La nozione di «operatori economici»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deve essere interpretata in senso ampio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così da comprendere qualunque persona o ente che offra sul mercato la realizzazione di lavori, la fornitura di prodotti o la prestazione di servizi,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prescindere dalla forma giuridica nel quadro della quale ha scelto di operare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Il considerando precisa che vi rientrano imprese, succursali, filiali, società di persone, cooperative, società a responsabilità limitata, università pubbliche e private e altre forme di enti diversi dalle persone fisiche,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prescindere dal fatto che siano o meno «persone giuridiche» in ogni circostanza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Art. 2, paragrafo 1, punto 10.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Definisce l’operatore economico come qualsiasi persona fisica o giuridica, ente pubblico, 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raggruppamento di tali persone o enti, compresa qualsiasi associazione temporanea di imprese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che offra sul mercato la prestazione di servizi.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Art. 19, paragrafo 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raggruppamenti di operatori economici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non possono essere obbligati dalle amministrazioni aggiudicatrici ad avere una forma giuridica specifica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ai fini della presentazione di un’offerta o di una domanda di partecipazione. Le amministrazioni possono precisare nei documenti di gara come i raggruppamenti ottemperano ai requisiti di capacità economico-finanziaria e tecnico-professionale,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purché ciò sia proporzionato e giustificato da ragioni oggettive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Solo dopo l’aggiudicazione, e nella misura in cui sia necessario per la buona esecuzione del contratto, può essere imposta al raggruppamento una forma giuridica determinata.</w:t>
      </w:r>
    </w:p>
    <w:p>
      <w:pPr>
        <w:spacing w:after="100"/>
      </w:pPr>
    </w:p>
    <w:tbl>
      <w:tblPr>
        <w:tblW w:type="dxa" w:w="9638"/>
        <w:tblBorders>
          <w:top w:val="single" w:color="DCE4EC" w:sz="4"/>
          <w:left w:val="single" w:color="8A6D3B" w:sz="24"/>
          <w:bottom w:val="single" w:color="DCE4EC" w:sz="4"/>
          <w:right w:val="single" w:color="DCE4E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2F6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Perché conta per noi</w:t>
            </w:r>
          </w:p>
          <w:p>
            <w:pPr>
              <w:spacing w:after="60" w:line="264"/>
              <w:jc w:val="both"/>
            </w:pPr>
            <w:r>
              <w:rPr>
                <w:rFonts w:ascii="Calibri" w:cs="Calibri" w:eastAsia="Calibri" w:hAnsi="Calibri"/>
                <w:color w:val="2A3340"/>
                <w:sz w:val="19"/>
                <w:szCs w:val="19"/>
              </w:rPr>
              <w:t xml:space="preserve">L’art. 66 del Codice italiano elenca sette categorie di soggetti ammessi ai servizi di architettura e ingegneria e non menziona le reti. Se quell’elenco venisse letto come tassativo, al punto da escludere una rete i cui componenti sono tutti, individualmente, soggetti ex art. 66, la lettura entrerebbe in tensione con il considerando 14 e con l’art. 19, paragrafo 2, della direttiva.</w:t>
            </w:r>
          </w:p>
          <w:p>
            <w:pPr>
              <w:spacing w:after="60" w:line="264"/>
              <w:jc w:val="both"/>
            </w:pPr>
            <w:r>
              <w:rPr>
                <w:rFonts w:ascii="Calibri" w:cs="Calibri" w:eastAsia="Calibri" w:hAnsi="Calibri"/>
                <w:color w:val="2A3340"/>
                <w:sz w:val="19"/>
                <w:szCs w:val="19"/>
              </w:rPr>
              <w:t xml:space="preserve">Nella prassi questo si traduce in un argomento concreto da spendere in un’istanza di chiarimento o, se necessario, in una impugnazione: una clausola di gara che escludesse le aggregazioni di retisti dai lotti di servizi tecnici andrebbe disapplicata o interpretata in senso conforme al diritto dell’Unione.</w:t>
            </w:r>
          </w:p>
          <w:p>
            <w:pPr>
              <w:spacing w:after="60" w:line="264"/>
              <w:jc w:val="both"/>
            </w:pPr>
            <w:r>
              <w:rPr>
                <w:rFonts w:ascii="Calibri" w:cs="Calibri" w:eastAsia="Calibri" w:hAnsi="Calibri"/>
                <w:color w:val="2A3340"/>
                <w:sz w:val="19"/>
                <w:szCs w:val="19"/>
              </w:rPr>
              <w:t xml:space="preserve">Non è una garanzia. È la ragione per cui la questione, pur aperta, non è disperata — e la ragione per cui conviene sempre chiedere il chiarimento anziché rinunciare.</w:t>
            </w:r>
          </w:p>
        </w:tc>
      </w:tr>
    </w:tbl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1.3  La giurisprudenza della Corte di giustizia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8A6D3B"/>
          <w:sz w:val="21"/>
          <w:szCs w:val="21"/>
        </w:rPr>
        <w:t xml:space="preserve">C-631/21, Taxi Horn Tours — 10 novembre 2022, Ottava Sezione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Rinvio pregiudiziale dal Gerechtshof ’s-Hertogenbosch. La Corte ha confermato che la nozione di operatore economico va interpretata in senso ampio, fino a comprendere una società in nome collettivo priva di personalità giuridica, e ha precisato che quando più operatori partecipano in raggruppamento, anche temporaneo, va presentato un documento di gara unico europeo distinto per ciascuno degli operatori partecipanti. È la pronuncia che meglio illustra l’irrilevanza della personalità giuridica ai fini della legittimazione a concorrere.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8A6D3B"/>
          <w:sz w:val="21"/>
          <w:szCs w:val="21"/>
        </w:rPr>
        <w:t xml:space="preserve">C-642/20, Caruter — 28 aprile 2022, Quarta Sezione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Rinvio pregiudiziale dal Consiglio di giustizia amministrativa per la Regione siciliana. La Corte ha giudicato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contraria alla direttiva 2014/24/UE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la norma nazionale — allora l’art. 83, comma 8, del D.Lgs. 50/2016 — che imponeva al soggetto mandatario di un raggruppamento di possedere i requisiti ed eseguire le prestazioni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in misura maggioritaria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La pronuncia riguardava un consorzio stabile, ma il principio investe la regola in sé: un vincolo generale e astratto sulla quota della mandataria non trova base nella direttiva.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Il rilievo pratico è notevole. Molti disciplinari continuano a richiedere che la mandataria possieda i requisiti «in misura percentuale superiore rispetto a ciascuna delle mandanti».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Una clausola di questo tenore è contestabile alla luce di Caruter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 va quindi letta con attenzione: se condiziona in modo decisivo l’architettura dell’aggregazione, merita un’istanza di chiarimento prima di rassegnarsi a subirla.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⚠ Va però verificato caso per caso se la clausola sia espressione di una prescrizione normativa vigente o di una scelta della stazione appaltante, e quale sia lo stato del recepimento della pronuncia nel D.Lgs. 36/2023.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1.4  Il riconoscimento delle qualifiche professionali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Rileva per ogni retista stabilito in un altro Stato membro — nel nostro caso Perla Engineering, società di diritto polacco — e per i professionisti che firmano gli elaborati. La fonte è 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direttiva 2005/36/CE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modificata dalla direttiva 2013/55/UE, recepita in Italia con il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D.Lgs. 9 novembre 2007, n. 206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e, quanto alle modifiche del 2013, con il recepimento entrato in vigore nel gennaio 2016.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gli architetti la direttiva istituisce un sistema di riconoscimento automatico dei titoli, con elenco delle qualifiche nell’allegato V, periodicamente aggiornato da decisioni delegate della Commissione.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gli ingegneri il riconoscimento segue il regime generale, con possibile richiesta di misure compensative, e passa dall’autorità competente italiana.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direttiva distingue fra stabilimento e libera prestazione di servizi transfrontaliera: chi presta servizi in modo temporaneo e occasionale segue un regime dichiarativo più leggero rispetto a chi si stabilisce.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Nel Codice dei contratti la corrispondenza è nell’art. 66, comma 1, lettera d), che ammette ai servizi di architettura e ingegneria i prestatori stabiliti in altri Stati membri. È la lettera sotto cui va ricondotta Perla Engineering, con l’onere di documentare l’abilitazione secondo la legge dello Stato di stabilimento, corredata di traduzione asseverata.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1.5  Obblighi trasversali di più recente introduzione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8A6D3B"/>
          <w:sz w:val="21"/>
          <w:szCs w:val="21"/>
        </w:rPr>
        <w:t xml:space="preserve">Regolamento (UE) 2022/2560 sulle sovvenzioni estere distorsive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vigore dal 12 gennaio 2023, applicabile dal 12 luglio 2023, con gli obblighi di notifica operativi dal 12 ottobre 2023. Negli appalti pubblici impone una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notifica alla stazione appaltante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quando ricorrono congiuntamente due condizioni: il valore del contratto è pari o superiore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250 milioni di euro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 l’offerente ha ricevuto, direttamente o indirettamente, contributi finanziari esteri — cioè provenienti da Paesi terzi, non da Stati membri — pari o superiori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4 milioni di euro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nei tre anni precedenti.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caso di appalto suddiviso in lotti, l’obbligo scatta quando il valore aggregato dei lotti per i quali l’impresa presenta offerta eccede 125 milioni di euro.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L’obbligo riguarda l’offerente, le società del gruppo cui appartiene e i principali subappaltatori e fornitori coinvolti nella procedura.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Anche quando non sussiste l’obbligo di notifica, l’operatore deve comunque produrre in gara una dichiarazione che elenchi i contributi finanziari esteri ricevuti.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È l’adempimento che viene dimenticato più spesso.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la Rete l’ipotesi non è teorica: l’accordo quadro della Regione Campania sul bacino del Sarno vale oltre 406 milioni di euro, e l’adempimento va verificato per ciascun retista partecipante, la Rete compresa.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8A6D3B"/>
          <w:sz w:val="21"/>
          <w:szCs w:val="21"/>
        </w:rPr>
        <w:t xml:space="preserve">Il documento di gara unico europeo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Il DGUE è disciplinato dal regolamento di esecuzione (UE) 2016/7 e, in Italia, si compila oggi in forma elettronica sui portali delle stazioni appaltanti. Nelle aggregazioni di retisti va prodotto dall’organo comune e da ciascuna impresa retista indicata per la gara — o da tutte, se l’intera rete partecipa. La regola trova conferma diretta in Taxi Horn Tours.</w:t>
      </w:r>
    </w:p>
    <w:p>
      <w:r>
        <w:br w:type="page"/>
      </w:r>
    </w:p>
    <w:p>
      <w:pPr>
        <w:pStyle w:val="Heading1"/>
        <w:pBdr>
          <w:bottom w:val="single" w:color="1A3A5C" w:sz="8" w:space="6"/>
        </w:pBdr>
        <w:spacing w:after="180" w:before="380"/>
      </w:pPr>
      <w:r>
        <w:rPr>
          <w:rFonts w:ascii="Calibri" w:cs="Calibri" w:eastAsia="Calibri" w:hAnsi="Calibri"/>
          <w:b/>
          <w:bCs/>
          <w:color w:val="1A3A5C"/>
          <w:sz w:val="30"/>
          <w:szCs w:val="30"/>
        </w:rPr>
        <w:t xml:space="preserve">Parte II — Il livello nazionale: il contratto di rete come istituto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2.1  Le fonti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70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D.L. 10 febbraio 2009, n. 5, art. 3, commi 4-ter e seguenti, convertito con L. 9 aprile 2009, n. 33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Norma istitutiva. Con il contratto di rete più imprenditori perseguono lo scopo di accrescere, individualmente e collettivamente, la propria capacità innovativa e la propria competitività sul mercato, obbligandosi sulla base di un programma comune a collaborare in forme e ambiti predeterminati, a scambiarsi informazioni o prestazioni, o a esercitare in comune una o più attività rientranti nell’oggetto delle rispettive imprese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D.L. 31 maggio 2010, n. 78, art. 42</w:t>
            </w:r>
          </w:p>
        </w:tc>
        <w:tc>
          <w:tcPr>
            <w:tcW w:type="dxa" w:w="70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Interviene sulla disciplina del contratto di rete e sul regime di pubblicità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D.L. 18 ottobre 2012, n. 179, art. 36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Introduce la possibilità per la rete di acquistare soggettività giuridica mediante iscrizione nella sezione ordinaria del Registro delle Imprese: è la norma che fonda la distinzione fra rete-contratto e rete-soggetto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D.M. 10 aprile 2014, n. 122</w:t>
            </w:r>
          </w:p>
        </w:tc>
        <w:tc>
          <w:tcPr>
            <w:tcW w:type="dxa" w:w="70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Approva il modello standard tipizzato per la trasmissione del contratto di rete al Registro delle Imprese. Il modello è utilizzabile sia per le reti prive di soggettività sia, con i necessari adattamenti, per le reti-soggetto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Codice civile, artt. 2614 e 2615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Regime del fondo patrimoniale comune, richiamato in quanto compatibile: indivisibilità del fondo per la durata della rete e limitazione della responsabilità per le obbligazioni assunte dall’organo comune in relazione al programma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D.Lgs. 10 settembre 2003, n. 276, art. 30, comma 4-ter</w:t>
            </w:r>
          </w:p>
        </w:tc>
        <w:tc>
          <w:tcPr>
            <w:tcW w:type="dxa" w:w="70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Distacco di personale fra imprese retiste e assunzione in regime di codatorialità: strumenti di flessibilità organizzativa propri della rete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Circolare Agenzia delle Entrate n. 20/E del 2013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Regime fiscale. La rete-soggetto è autonomo soggetto passivo d’imposta, con propria partita IVA: può quindi contrattare e fatturare in nome proprio</w:t>
            </w:r>
          </w:p>
        </w:tc>
      </w:tr>
    </w:tbl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2.2  Rete-contratto e rete-soggetto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distinzione governa tutto il resto ed è la prima cosa da accertare quando si legge un contratto di rete.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300"/>
        <w:gridCol w:w="3700"/>
        <w:gridCol w:w="3638"/>
      </w:tblGrid>
      <w:tr>
        <w:trPr>
          <w:tblHeader/>
        </w:trPr>
        <w:tc>
          <w:tcPr>
            <w:tcW w:type="dxa" w:w="23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Profilo</w:t>
            </w:r>
          </w:p>
        </w:tc>
        <w:tc>
          <w:tcPr>
            <w:tcW w:type="dxa" w:w="37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Rete-contratto</w:t>
            </w:r>
          </w:p>
        </w:tc>
        <w:tc>
          <w:tcPr>
            <w:tcW w:type="dxa" w:w="36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Rete-soggetto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Soggettività giuridica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Assente. La rete è un contratto plurilaterale con comunione di scopo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Acquistata con l’iscrizione nella sezione ordinaria del Registro delle Imprese della circoscrizione in cui ha sede</w:t>
            </w:r>
          </w:p>
        </w:tc>
      </w:tr>
      <w:tr>
        <w:tc>
          <w:tcPr>
            <w:tcW w:type="dxa" w:w="2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Forma richiesta</w:t>
            </w:r>
          </w:p>
        </w:tc>
        <w:tc>
          <w:tcPr>
            <w:tcW w:type="dxa" w:w="37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Atto pubblico, scrittura privata autenticata, o atto firmato digitalmente ai sensi dell’art. 25 del CAD</w:t>
            </w:r>
          </w:p>
        </w:tc>
        <w:tc>
          <w:tcPr>
            <w:tcW w:type="dxa" w:w="36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stesse forme, ma con l’iscrizione nella sezione ordinaria quale condizione costitutiva della soggettività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Fondo comune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Eventuale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Necessario, insieme all’organo comune</w:t>
            </w:r>
          </w:p>
        </w:tc>
      </w:tr>
      <w:tr>
        <w:tc>
          <w:tcPr>
            <w:tcW w:type="dxa" w:w="2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Posizione fiscale</w:t>
            </w:r>
          </w:p>
        </w:tc>
        <w:tc>
          <w:tcPr>
            <w:tcW w:type="dxa" w:w="37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Nessuna autonoma: gli effetti ricadono sulle imprese aderenti</w:t>
            </w:r>
          </w:p>
        </w:tc>
        <w:tc>
          <w:tcPr>
            <w:tcW w:type="dxa" w:w="36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Autonomo soggetto passivo d’imposta con partita IVA propria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 gara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Partecipa tramite l’organo comune in forza del mandato, o si costituisce in raggruppamento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Partecipa a mezzo dell’organo comune che assume il ruolo di mandatario; la domanda è sottoscritta dal solo operatore che riveste quella funzione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80" w:before="380"/>
      </w:pPr>
      <w:r>
        <w:rPr>
          <w:rFonts w:ascii="Calibri" w:cs="Calibri" w:eastAsia="Calibri" w:hAnsi="Calibri"/>
          <w:b/>
          <w:bCs/>
          <w:color w:val="1A3A5C"/>
          <w:sz w:val="30"/>
          <w:szCs w:val="30"/>
        </w:rPr>
        <w:t xml:space="preserve">Parte III — Il livello nazionale: la rete negli appalti pubblici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3.1  Le norme del Codice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Disposizione</w:t>
            </w:r>
          </w:p>
        </w:tc>
        <w:tc>
          <w:tcPr>
            <w:tcW w:type="dxa" w:w="76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Contenuto e rilievo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Art. 65, comma 2, lett. g), D.Lgs. 36/2023</w:t>
            </w:r>
          </w:p>
        </w:tc>
        <w:tc>
          <w:tcPr>
            <w:tcW w:type="dxa" w:w="7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Include fra gli operatori economici ammessi alle procedure di affidamento le «aggregazioni tra imprese aderenti al contratto di rete» di cui all’art. 3, comma 4-ter, del D.L. 5/2009. È la norma che fonda la legittimazione generale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Art. 68, comma 20</w:t>
            </w:r>
          </w:p>
        </w:tc>
        <w:tc>
          <w:tcPr>
            <w:tcW w:type="dxa" w:w="76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Alle aggregazioni di retisti si applicano, in quanto compatibili, le regole previste per i raggruppamenti temporanei e i consorzi ordinari. Governa quote, mandato, requisiti della mandataria e divieti di partecipazione plurima. La clausola «in quanto compatibili» impone di verificare ogni istituto caso per caso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Art. 66, comma 1</w:t>
            </w:r>
          </w:p>
        </w:tc>
        <w:tc>
          <w:tcPr>
            <w:tcW w:type="dxa" w:w="7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Elenca in sette lettere i soggetti ammessi ai servizi di architettura e ingegneria, aprendo con il principio di non discriminazione in ragione della forma giuridica. Le aggregazioni di retisti non vi compaiono: è il nodo interpretativo centrale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Allegato II.12, Parte V, artt. 34-40</w:t>
            </w:r>
          </w:p>
        </w:tc>
        <w:tc>
          <w:tcPr>
            <w:tcW w:type="dxa" w:w="76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Requisiti per tipologia soggettiva: professionisti singoli e associati (34), società tra professionisti (35), società di ingegneria (36), altri soggetti abilitati (37), consorzi stabili (38), raggruppamenti temporanei e giovane professionista (39). Ha assorbito il contenuto del D.M. 2 dicembre 2016, n. 263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Artt. 94, 95 e 100</w:t>
            </w:r>
          </w:p>
        </w:tc>
        <w:tc>
          <w:tcPr>
            <w:tcW w:type="dxa" w:w="7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Requisiti di ordine generale, cause di esclusione automatiche e non automatiche, requisiti di ordine speciale. Nella rete-soggetto vanno posseduti da ciascun retista partecipante e dall’ente-rete</w:t>
            </w:r>
          </w:p>
        </w:tc>
      </w:tr>
      <w:tr>
        <w:tc>
          <w:tcPr>
            <w:tcW w:type="dxa" w:w="20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Art. 104</w:t>
            </w:r>
          </w:p>
        </w:tc>
        <w:tc>
          <w:tcPr>
            <w:tcW w:type="dxa" w:w="76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Avvalimento. Consentito per i requisiti di ordine speciale, con contratto nativo digitale sottoscritto dalle parti e indicazione a pena di nullità delle risorse messe a disposizione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Art. 103</w:t>
            </w:r>
          </w:p>
        </w:tc>
        <w:tc>
          <w:tcPr>
            <w:tcW w:type="dxa" w:w="7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Bandi tipo ANAC: le stazioni appaltanti vi si conformano, potendosene discostare solo con motivazione espressa. È ciò che rende vincolante il Bando tipo n. 2/2026</w:t>
            </w:r>
          </w:p>
        </w:tc>
      </w:tr>
    </w:tbl>
    <w:p>
      <w:pPr>
        <w:spacing w:after="12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⚠ Il D.Lgs. 31 dicembre 2024, n. 209 (correttivo) ha inciso su numerose disposizioni del Codice e dei suoi allegati, intervenendo fra l’altro sulla disciplina dei consorzi. L’elenco puntuale degli articoli incisi in materia di reti e di servizi di ingegneria non è stato verificato su fonte primaria in questa sede e va riscontrato prima dell’uso.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3.2  Le tre configurazioni in gara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prassi dei disciplinari, che discende dalla Determinazione ANAC n. 3 del 23 aprile 2013 e si è consolidata nei bandi tipo, distingue tre situazioni con regimi documentali diversi.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34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Struttura</w:t>
            </w:r>
          </w:p>
        </w:tc>
        <w:tc>
          <w:tcPr>
            <w:tcW w:type="dxa" w:w="36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Modalità di partecipazione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Rete dotata di organo comune con potere di rappresentanza e di soggettività giuridica (rete-soggetto)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Ente autonomo iscritto nella sezione ordinaria del Registro delle Imprese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Partecipa a mezzo dell’organo comune, che assume il ruolo di mandatario se in possesso dei relativi requisiti. La domanda è sottoscritta dal solo operatore che riveste quella funzione, il quale deve obbligatoriamente essere fra i retisti indicati per la gara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Rete dotata di organo comune con potere di rappresentanza ma priva di soggettività giuridica</w:t>
            </w:r>
          </w:p>
        </w:tc>
        <w:tc>
          <w:tcPr>
            <w:tcW w:type="dxa" w:w="34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Mandato collettivo risultante dal contratto di rete</w:t>
            </w:r>
          </w:p>
        </w:tc>
        <w:tc>
          <w:tcPr>
            <w:tcW w:type="dxa" w:w="36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Partecipa tramite l’organo comune in forza del mandato, con carico documentale intermedio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Rete priva di organo comune, o con organo comune privo di potere di rappresentanza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Nessun mandato opponibile ai terzi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Deve costituirsi, o impegnarsi a costituirsi, in raggruppamento temporaneo secondo le regole ordinarie, con sottoscrizione di tutti i componenti</w:t>
            </w:r>
          </w:p>
        </w:tc>
      </w:tr>
    </w:tbl>
    <w:p>
      <w:pPr>
        <w:spacing w:after="12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Due prescrizioni ricorrono in tutti i disciplinari, per ogni configurazione: la partecipazione congiunta alle gare deve risultare individuata nel contratto di rete come uno degli scopi strategici inclusi nel programma comune, e la durata della rete deve essere commisurata ai tempi di realizzazione dell’appalto. Nei contratti pluriennali il parametro non sono i mesi dell’accordo quadro, ma il completamento dei contratti attuativi.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3.3  La giurisprudenza nazionale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Pronuncia</w:t>
            </w:r>
          </w:p>
        </w:tc>
        <w:tc>
          <w:tcPr>
            <w:tcW w:type="dxa" w:w="69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Cons. Stato, Sez. V, 27 ottobre 2025, n. 8289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Il cumulo alla rinfusa è istituto di carattere eccezionale, valevole per i soli consorzi stabili, e in assenza di norma espressa non si estende alle reti di imprese. Il cumulo si fonda sull’avvalimento reciproco fra consorzio e consorziate, reso possibile dal rapporto organico stabile e dalla natura del consorzio stabile quale struttura imprenditoriale autonoma e permanente. Le reti, prive di soggettività economica unitaria, devono possedere i requisiti individualmente</w:t>
            </w:r>
          </w:p>
        </w:tc>
      </w:tr>
      <w:tr>
        <w:tc>
          <w:tcPr>
            <w:tcW w:type="dxa" w:w="27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TAR Emilia-Romagna, n. 472/2025</w:t>
            </w:r>
          </w:p>
        </w:tc>
        <w:tc>
          <w:tcPr>
            <w:tcW w:type="dxa" w:w="69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Aveva ammesso il cumulo per una rete, valorizzando l’art. 68, comma 20, e l’assimilazione sostanziale al consorzio stabile. Orientamento superato dalla pronuncia del Consiglio di Stato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Cons. Stato, Sez. V, 15 marzo 2023, n. 2734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Neutralità delle forme giuridiche: la nozione di operatore economico comprende enti di ogni forma, a prescindere dal fatto che siano o meno persone giuridiche. Il legislatore non impone particolari formalità costitutive ai fini della legittimazione a operare sul mercato, e il bando non può prescriverle per la partecipazione alla gara</w:t>
            </w:r>
          </w:p>
        </w:tc>
      </w:tr>
      <w:tr>
        <w:tc>
          <w:tcPr>
            <w:tcW w:type="dxa" w:w="27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Cons. Stato — rete-soggetto e organo comune</w:t>
            </w:r>
          </w:p>
        </w:tc>
        <w:tc>
          <w:tcPr>
            <w:tcW w:type="dxa" w:w="69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Nella rete dotata di organo comune e soggettività giuridica la partecipazione avviene a mezzo dell’organo comune, a condizione che questo possieda i requisiti di qualificazione previsti per la mandataria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80" w:before="380"/>
      </w:pPr>
      <w:r>
        <w:rPr>
          <w:rFonts w:ascii="Calibri" w:cs="Calibri" w:eastAsia="Calibri" w:hAnsi="Calibri"/>
          <w:b/>
          <w:bCs/>
          <w:color w:val="1A3A5C"/>
          <w:sz w:val="30"/>
          <w:szCs w:val="30"/>
        </w:rPr>
        <w:t xml:space="preserve">Parte IV — I criteri per partecipare a una gara nazionale di servizi di ingegneria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Questa parte raccoglie in forma di checklist i criteri che una rete di società di ingegneria deve soddisfare per concorrere a una procedura italiana sopra soglia. La colonna «chi lo possiede» è riferita alla configurazione rete-soggetto.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4.1  Requisiti di ordine generale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3100"/>
        <w:gridCol w:w="3300"/>
        <w:gridCol w:w="3238"/>
      </w:tblGrid>
      <w:tr>
        <w:trPr>
          <w:tblHeader/>
        </w:trPr>
        <w:tc>
          <w:tcPr>
            <w:tcW w:type="dxa" w:w="31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3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2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 lo possiede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Assenza delle cause di esclusione automatiche e non automatiche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Artt. 94 e 95 del Codice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Ciascun retista partecipante e l’ente-rete, in quanto dotato di soggettività giuridica</w:t>
            </w:r>
          </w:p>
        </w:tc>
      </w:tr>
      <w:tr>
        <w:tc>
          <w:tcPr>
            <w:tcW w:type="dxa" w:w="31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Regolarità contributiva e fiscale</w:t>
            </w:r>
          </w:p>
        </w:tc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Art. 94 e normativa DURC</w:t>
            </w:r>
          </w:p>
        </w:tc>
        <w:tc>
          <w:tcPr>
            <w:tcW w:type="dxa" w:w="32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Ciascun retista e l’ente-rete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Consenso al trattamento dei dati tramite FVOE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Art. 35, comma 5-bis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Ciascun operatore economico partecipante</w:t>
            </w:r>
          </w:p>
        </w:tc>
      </w:tr>
      <w:tr>
        <w:tc>
          <w:tcPr>
            <w:tcW w:type="dxa" w:w="31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Dichiarazione sui contributi finanziari esteri</w:t>
            </w:r>
          </w:p>
        </w:tc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Reg. (UE) 2022/2560</w:t>
            </w:r>
          </w:p>
        </w:tc>
        <w:tc>
          <w:tcPr>
            <w:tcW w:type="dxa" w:w="32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Ciascun partecipante, sopra le soglie indicate al § 1.5</w:t>
            </w:r>
          </w:p>
        </w:tc>
      </w:tr>
    </w:tbl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4.2  Idoneità professionale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3100"/>
        <w:gridCol w:w="3300"/>
        <w:gridCol w:w="3238"/>
      </w:tblGrid>
      <w:tr>
        <w:trPr>
          <w:tblHeader/>
        </w:trPr>
        <w:tc>
          <w:tcPr>
            <w:tcW w:type="dxa" w:w="31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3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2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 lo possiede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Iscrizione al Registro delle Imprese per attività coerenti con l’oggetto della procedura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Art. 100 del Codice e clausole di disciplinare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Ciascun componente dell’aggregazione e l’organo comune, in quanto dotato di soggettività giuridica</w:t>
            </w:r>
          </w:p>
        </w:tc>
      </w:tr>
      <w:tr>
        <w:tc>
          <w:tcPr>
            <w:tcW w:type="dxa" w:w="31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Requisiti per tipologia soggettiva</w:t>
            </w:r>
          </w:p>
        </w:tc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Allegato II.12, Parte V, artt. 34-38</w:t>
            </w:r>
          </w:p>
        </w:tc>
        <w:tc>
          <w:tcPr>
            <w:tcW w:type="dxa" w:w="32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Ciascun retista secondo la propria natura giuridica; l’ente-rete secondo l’art. 37, se ricondotto alla lett. e) dell’art. 66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Direttore tecnico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Art. 36 per le società di ingegneria; art. 37 per gli altri soggetti abilitati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Ciascuna società di ingegneria retista, e l’ente-rete se si qualifica ex art. 37. Requisito del singolo soggetto, non dell’aggregazione</w:t>
            </w:r>
          </w:p>
        </w:tc>
      </w:tr>
      <w:tr>
        <w:tc>
          <w:tcPr>
            <w:tcW w:type="dxa" w:w="31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Iscrizione agli albi professionali</w:t>
            </w:r>
          </w:p>
        </w:tc>
        <w:tc>
          <w:tcPr>
            <w:tcW w:type="dxa" w:w="33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Art. 66 e Allegato II.12</w:t>
            </w:r>
          </w:p>
        </w:tc>
        <w:tc>
          <w:tcPr>
            <w:tcW w:type="dxa" w:w="32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 professionisti che firmano gli elaborati. Per i prestatori stabiliti in altri Stati membri, abilitazione secondo la legge dello Stato di stabilimento</w:t>
            </w:r>
          </w:p>
        </w:tc>
      </w:tr>
    </w:tbl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4.3  Capacità economica e finanziaria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Fatturato globale per servizi di architettura e ingegneria maturato nei migliori tre esercizi dell’ultimo quinquennio antecedente la pubblicazione del bando, in misura definita dal disciplinare e commisurata al valore della componente servizi.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Il requisito si cumula in capo all’aggregazione, ma senza cumulo alla rinfusa: ciascun retista porta ciò che ha, e la somma deve raggiungere la soglia.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Frequente la clausola che impone alla mandataria di possedere i requisiti «in misura percentuale superiore rispetto a ciascuna delle mandanti».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Condiziona l’architettura dell’aggregazione ed è la prima verifica da fare, ma alla luce di Caruter è anche la clausola più contestabile (§ 1.3).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Comprova: bilanci con nota integrativa per le società di capitali; Modello Unico o dichiarazione IVA per imprese individuali e società di persone; dichiarazione dell’organo di controllo contabile ex art. 47 D.P.R. 445/2000. Per operatori con meno di tre anni di attività il requisito è rapportato al periodo effettivo.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4.4  Capacità tecnica e professionale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Servizi di punta e servizi analoghi nelle classi e categorie richieste, riferiti alle opere oggetto dell’affidamento.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Gruppo di lavoro minimo, con ruoli tipizzati, titoli, abilitazioni, iscrizioni e anzianità professionale. I nominativi vanno di norma indicati già in sede di offerta.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Ruoli che il disciplinare riserva a soggetto interno all’impresa capofila: tipicamente il responsabile dell’integrazione delle prestazioni specialistiche e i responsabili dell’accordo quadro e dei contratti attuativi.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Giovane professionista, laureato abilitato da meno di cinque anni, quale progettista: obbligatorio nei raggruppamenti temporanei ex art. 39 dell’Allegato II.12, applicabile alle reti in quanto compatibile. I suoi requisiti non concorrono alla formazione dei requisiti di partecipazione.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Capacità BIM: con il Bando tipo ANAC n. 2/2026 il Building Information Modeling è processo codificato che permea l’intero capitolato, non elemento premiale. Servono BIM Manager certificato, ambiente di condivisione dati e piano di gestione informativa.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Rapporti ammessi fra professionisti e operatore economico: componente del raggruppamento; componente dello studio associato partecipante; professionista in organico con status di dipendente, socio attivo, consulente su base annua o a progetto. Il consulente su base annua deve avere partita IVA, firmare gli elaborati o far parte dell’ufficio di direzione lavori, e aver fatturato verso la società oltre il 50% del proprio fatturato annuo.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4.5  Il Bando tipo ANAC n. 2/2026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Approvato con delibera n. 153 del 15 aprile 2026, in vigore dal 30 maggio 2026, disciplina la procedura aperta per l’affidamento di servizi di architettura e ingegneria di importo pari o superiore alle soglie di rilevanza europea, con aggiudicazione secondo l’offerta economicamente più vantaggiosa. Ai sensi dell’art. 103 del Codice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è vincolante per le stazioni appaltanti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che possono discostarsene solo con motivazione espressa. Standardizza le clausole sulle aggregazioni di retisti — chi sottoscrive, chi produce il DGUE, chi possiede quali requisiti — e consolida la regola dell’equo compenso: il 65% dell’importo determinato per i corrispettivi professionali è prezzo fisso, solo il 35% è soggetto a confronto concorrenziale.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4.6  Documentazione tipica della Busta A per una rete-soggetto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Domanda di partecipazione e dichiarazioni integrative, sottoscritte dal solo operatore che riveste la funzione di organo comune.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Copia del contratto di rete, con indicazione dell’organo comune che agisce in rappresentanza.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Dichiarazione che indichi per quali imprese la rete concorre, e dichiarazione delle parti del servizio ovvero della percentuale in caso di prestazioni indivisibili, eseguite dai singoli operatori aggregati.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DGUE elettronico dell’organo comune e di ciascuna impresa retista indicata, firmato digitalmente.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Garanzia provvisoria intestata a tutte le imprese retiste partecipanti. La riduzione del 30% per certificazione ISO 9001 spetta solo se tutte le retiste partecipanti la possiedono.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Eventuale contratto di avvalimento nativo digitale e DGUE dell’ausiliario; ricevuta del contributo ANAC; imposta di bollo; consensi FVOE; informativa privacy.</w:t>
      </w:r>
    </w:p>
    <w:p>
      <w:r>
        <w:br w:type="page"/>
      </w:r>
    </w:p>
    <w:p>
      <w:pPr>
        <w:pStyle w:val="Heading1"/>
        <w:pBdr>
          <w:bottom w:val="single" w:color="1A3A5C" w:sz="8" w:space="6"/>
        </w:pBdr>
        <w:spacing w:after="180" w:before="380"/>
      </w:pPr>
      <w:r>
        <w:rPr>
          <w:rFonts w:ascii="Calibri" w:cs="Calibri" w:eastAsia="Calibri" w:hAnsi="Calibri"/>
          <w:b/>
          <w:bCs/>
          <w:color w:val="1A3A5C"/>
          <w:sz w:val="30"/>
          <w:szCs w:val="30"/>
        </w:rPr>
        <w:t xml:space="preserve">Parte V — Questioni aperte e argomenti difensivi</w:t>
      </w:r>
    </w:p>
    <w:tbl>
      <w:tblPr>
        <w:tblW w:type="dxa" w:w="9638"/>
        <w:tblBorders>
          <w:top w:val="single" w:color="DCE4EC" w:sz="4"/>
          <w:left w:val="single" w:color="DCE4EC" w:sz="4"/>
          <w:bottom w:val="single" w:color="DCE4EC" w:sz="4"/>
          <w:right w:val="single" w:color="DCE4EC" w:sz="4"/>
          <w:insideH w:val="single" w:color="DCE4EC" w:sz="3"/>
          <w:insideV w:val="single" w:color="DCE4EC" w:sz="3"/>
        </w:tblBorders>
      </w:tblPr>
      <w:tblGrid>
        <w:gridCol w:w="2500"/>
        <w:gridCol w:w="3600"/>
        <w:gridCol w:w="3538"/>
      </w:tblGrid>
      <w:tr>
        <w:trPr>
          <w:tblHeader/>
        </w:trPr>
        <w:tc>
          <w:tcPr>
            <w:tcW w:type="dxa" w:w="25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Questione</w:t>
            </w:r>
          </w:p>
        </w:tc>
        <w:tc>
          <w:tcPr>
            <w:tcW w:type="dxa" w:w="3600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Il problema</w:t>
            </w:r>
          </w:p>
        </w:tc>
        <w:tc>
          <w:tcPr>
            <w:tcW w:type="dxa" w:w="3538"/>
            <w:shd w:fill="1A3A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L’argomento da spendere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Le reti non figurano nell’elenco dell’art. 66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norma speciale sui servizi di architettura e ingegneria elenca sette categorie e non menziona le aggregazioni di retisti. Letta come tassativa, escluderebbe la rete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Considerando 14 e art. 19, par. 2, della direttiva 2014/24/UE; l’apertura dello stesso art. 66 al principio di non discriminazione in ragione della forma giuridica; l’art. 68, comma 20, che estende alle reti la disciplina dei raggruppamenti; Cons. Stato n. 2734/2023 e CGUE C-631/21</w:t>
            </w:r>
          </w:p>
        </w:tc>
      </w:tr>
      <w:tr>
        <w:tc>
          <w:tcPr>
            <w:tcW w:type="dxa" w:w="25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Quale casella dell’art. 66 per l’ente-rete</w:t>
            </w:r>
          </w:p>
        </w:tc>
        <w:tc>
          <w:tcPr>
            <w:tcW w:type="dxa" w:w="3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Avendo soggettività giuridica, l’ente-rete non è né società di ingegneria né società tra professionisti</w:t>
            </w:r>
          </w:p>
        </w:tc>
        <w:tc>
          <w:tcPr>
            <w:tcW w:type="dxa" w:w="35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Riconduzione alla lett. e), «altri soggetti abilitati in forza del diritto nazionale», con conseguente possesso dei requisiti dell’art. 37 dell’Allegato II.12: oggetto comprensivo dei SIA, organigramma, direttore tecnico. È la strada che rende la posizione difendibile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Cumulo alla rinfusa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Escluso per le reti da Cons. Stato n. 8289/2025. La rete somma i requisiti come un raggruppamento, non come un consorzio stabile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Nessun argomento contrario praticabile allo stato. Se la massa critica sui requisiti è l’obiettivo, la forma che la consente è il consorzio stabile di società di ingegneria, anche in forma mista, ammesso dall’art. 66, comma 1, lett. g)</w:t>
            </w:r>
          </w:p>
        </w:tc>
      </w:tr>
      <w:tr>
        <w:tc>
          <w:tcPr>
            <w:tcW w:type="dxa" w:w="25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Mandataria «in misura maggioritaria»</w:t>
            </w:r>
          </w:p>
        </w:tc>
        <w:tc>
          <w:tcPr>
            <w:tcW w:type="dxa" w:w="3600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Clausola ricorrente nei disciplinari, che condiziona chi può fare da capofila</w:t>
            </w:r>
          </w:p>
        </w:tc>
        <w:tc>
          <w:tcPr>
            <w:tcW w:type="dxa" w:w="3538"/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CGUE C-642/20 Caruter ha giudicato contraria alla direttiva la norma nazionale che imponeva alla mandataria di possedere i requisiti ed eseguire in misura maggioritaria. Argomento da istanza di chiarimento, previa verifica dello stato del recepimento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Retisti non qualificabili come prestatori di SIA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Una rete mista può includere soggetti che non rientrano nell’art. 66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Comporre l’aggregazione di gara con i soli retisti abilitati, valorizzando gli altri come struttura di supporto. L’organo comune può indicare anche solo alcuni fra i retisti, purché ne faccia parte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DCE4EC" w:sz="4"/>
          <w:left w:val="single" w:color="8A6D3B" w:sz="24"/>
          <w:bottom w:val="single" w:color="DCE4EC" w:sz="4"/>
          <w:right w:val="single" w:color="DCE4E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2F6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Regola operativa</w:t>
            </w:r>
          </w:p>
          <w:p>
            <w:pPr>
              <w:spacing w:after="60" w:line="264"/>
              <w:jc w:val="both"/>
            </w:pPr>
            <w:r>
              <w:rPr>
                <w:rFonts w:ascii="Calibri" w:cs="Calibri" w:eastAsia="Calibri" w:hAnsi="Calibri"/>
                <w:color w:val="2A3340"/>
                <w:sz w:val="19"/>
                <w:szCs w:val="19"/>
              </w:rPr>
              <w:t xml:space="preserve">Su ogni gara in cui si valuti la partecipazione in forma di rete: leggere per prima cosa la clausola sui soggetti ammessi e confrontarla con quella sulle forme aggregative; se la prima non menziona le reti mentre la seconda le disciplina, presentare istanza di chiarimento nei termini del disciplinare, citando le fonti della Parte I; non presentare offerta in forma di rete senza risposta scritta favorevole; tenere pronto il raggruppamento temporaneo come alternativa.</w:t>
            </w:r>
          </w:p>
          <w:p>
            <w:pPr>
              <w:spacing w:after="60" w:line="264"/>
              <w:jc w:val="both"/>
            </w:pPr>
            <w:r>
              <w:rPr>
                <w:rFonts w:ascii="Calibri" w:cs="Calibri" w:eastAsia="Calibri" w:hAnsi="Calibri"/>
                <w:color w:val="2A3340"/>
                <w:sz w:val="19"/>
                <w:szCs w:val="19"/>
              </w:rPr>
              <w:t xml:space="preserve">Un’esclusione per difetto di legittimazione soggettiva non è sanabile con soccorso istruttorio: è il rischio che va evitato per primo.</w:t>
            </w:r>
          </w:p>
        </w:tc>
      </w:tr>
    </w:tbl>
    <w:p>
      <w:pPr>
        <w:spacing w:after="200"/>
      </w:pP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Prossimo passo: la dimensione internazionale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Questa ricognizione si ferma alle gare nazionali. La seconda parte, da produrre separatamente, dovrà coprire: la partecipazione a gare bandite in altri Stati membri e il regime di stabilimento e libera prestazione di servizi; gli appalti delle istituzioni europee e delle agenzie; le procedure delle istituzioni finanziarie internazionali, che seguono regole proprie di procurement; i mercati terzi e lo strumento per gli appalti internazionali di cui al regolamento (UE) 2022/1031; e il regime delle garanzie, delle assicurazioni professionali e del riconoscimento dei titoli fuori dall’Unione.</w:t>
      </w:r>
    </w:p>
    <w:sectPr>
      <w:headerReference w:type="default" r:id="rId7"/>
      <w:footerReference w:type="default" r:id="rId8"/>
      <w:pgSz w:w="11905" w:h="16837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672"/>
        <w:sz w:val="15"/>
        <w:szCs w:val="15"/>
      </w:rPr>
      <w:t xml:space="preserve">Ricognizione di fonti — non è un parere legale          </w:t>
    </w:r>
    <w:r>
      <w:rPr>
        <w:rFonts w:ascii="Calibri" w:cs="Calibri" w:eastAsia="Calibri" w:hAnsi="Calibri"/>
        <w:b/>
        <w:bCs/>
        <w:color w:val="5A66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672"/>
        <w:sz w:val="15"/>
        <w:szCs w:val="15"/>
      </w:rPr>
      <w:t xml:space="preserve"> / </w:t>
    </w:r>
    <w:r>
      <w:rPr>
        <w:rFonts w:ascii="Calibri" w:cs="Calibri" w:eastAsia="Calibri" w:hAnsi="Calibri"/>
        <w:color w:val="5A66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EC" w:sz="4" w:space="4"/>
      </w:pBdr>
      <w:spacing w:after="60"/>
      <w:jc w:val="right"/>
    </w:pPr>
    <w:r>
      <w:rPr>
        <w:rFonts w:ascii="Calibri" w:cs="Calibri" w:eastAsia="Calibri" w:hAnsi="Calibri"/>
        <w:color w:val="5A6672"/>
        <w:sz w:val="16"/>
        <w:szCs w:val="16"/>
      </w:rPr>
      <w:t xml:space="preserve">Rete Masterplan · Quadro normativo · Reti di ingegneria negli appalti · 15 settembre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8A6D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 normativo — Le reti di società di ingegneria negli appalti pubblici</dc:title>
  <dc:creator>Rete Masterplan — Engineering &amp; Infrastructure Network</dc:creator>
  <dc:description>Fonti europee e nazionali, giurisprudenza e criteri di partecipazione alle gare italiane</dc:description>
  <cp:lastModifiedBy>Un-named</cp:lastModifiedBy>
  <cp:revision>1</cp:revision>
  <dcterms:created xsi:type="dcterms:W3CDTF">2026-09-15T10:49:16.509Z</dcterms:created>
  <dcterms:modified xsi:type="dcterms:W3CDTF">2026-09-15T10:49:16.509Z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