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3A5C"/>
          <w:spacing w:val="60"/>
          <w:sz w:val="22"/>
          <w:szCs w:val="22"/>
        </w:rPr>
        <w:t xml:space="preserve">RETE MASTERPLAN</w:t>
      </w:r>
    </w:p>
    <w:p>
      <w:pPr>
        <w:pBdr>
          <w:bottom w:val="single" w:color="8A6D3B" w:sz="12" w:space="8"/>
        </w:pBdr>
        <w:spacing w:after="320"/>
      </w:pPr>
      <w:r>
        <w:rPr>
          <w:rFonts w:ascii="Calibri" w:cs="Calibri" w:eastAsia="Calibri" w:hAnsi="Calibri"/>
          <w:color w:val="5A6672"/>
          <w:sz w:val="19"/>
          <w:szCs w:val="19"/>
        </w:rPr>
        <w:t xml:space="preserve">Engineering &amp; Infrastructure Network</w:t>
      </w:r>
    </w:p>
    <w:p>
      <w:pPr>
        <w:spacing w:after="100"/>
      </w:pPr>
      <w:r>
        <w:rPr>
          <w:rFonts w:ascii="Calibri" w:cs="Calibri" w:eastAsia="Calibri" w:hAnsi="Calibri"/>
          <w:b/>
          <w:bCs/>
          <w:color w:val="1A3A5C"/>
          <w:sz w:val="40"/>
          <w:szCs w:val="40"/>
        </w:rPr>
        <w:t xml:space="preserve">Relazione per la riunione della Rete</w:t>
      </w:r>
    </w:p>
    <w:p>
      <w:pPr>
        <w:spacing w:after="100"/>
      </w:pPr>
      <w:r>
        <w:rPr>
          <w:rFonts w:ascii="Calibri" w:cs="Calibri" w:eastAsia="Calibri" w:hAnsi="Calibri"/>
          <w:color w:val="2A3340"/>
          <w:sz w:val="26"/>
          <w:szCs w:val="26"/>
        </w:rPr>
        <w:t xml:space="preserve">Requisiti di partecipazione delle reti di società di ingegneria alle gare pubbliche italiane</w:t>
      </w:r>
    </w:p>
    <w:p>
      <w:pPr>
        <w:spacing w:after="360"/>
      </w:pPr>
      <w:r>
        <w:rPr>
          <w:rFonts w:ascii="Calibri" w:cs="Calibri" w:eastAsia="Calibri" w:hAnsi="Calibri"/>
          <w:i/>
          <w:iCs/>
          <w:color w:val="5A6672"/>
          <w:sz w:val="20"/>
          <w:szCs w:val="20"/>
        </w:rPr>
        <w:t xml:space="preserve">Quadro normativo e giurisprudenziale · Evidenze dai bandi delle maggiori stazioni appaltanti · Gap analysis della Rete · Roadmap operativa</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400"/>
        <w:gridCol w:w="7238"/>
      </w:tblGrid>
      <w:tr>
        <w:tc>
          <w:tcPr>
            <w:tcW w:type="dxa" w:w="24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Data</w:t>
            </w:r>
          </w:p>
        </w:tc>
        <w:tc>
          <w:tcPr>
            <w:tcW w:type="dxa" w:w="7238"/>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15 settembre 2026</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Predisposta da</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Ing. Giampiero De Michelis — Manager di Rete</w:t>
            </w:r>
          </w:p>
        </w:tc>
      </w:tr>
      <w:tr>
        <w:tc>
          <w:tcPr>
            <w:tcW w:type="dxa" w:w="24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Destinatari</w:t>
            </w:r>
          </w:p>
        </w:tc>
        <w:tc>
          <w:tcPr>
            <w:tcW w:type="dxa" w:w="7238"/>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Imprese Aderenti Fondatrici della Rete Masterplan (9 soggetti) — Organo Comune</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Perimetro</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Servizi di architettura e ingegneria (SIA) ex art. 66 D.Lgs. 36/2023. Esclusa l’esecuzione di lavori e la qualificazione SOA, salvo dove indicato.</w:t>
            </w:r>
          </w:p>
        </w:tc>
      </w:tr>
      <w:tr>
        <w:tc>
          <w:tcPr>
            <w:tcW w:type="dxa" w:w="24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Base documentale interna</w:t>
            </w:r>
          </w:p>
        </w:tc>
        <w:tc>
          <w:tcPr>
            <w:tcW w:type="dxa" w:w="7238"/>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«Bozza contratto di rete R03.docx» (Drive, agg. 14/09/2026), letta integralmente; «Rapporto verifica requisiti partecipazione — Rete mista — Lotti 4-6» (06/08/2026); nota interna sul contratto R03 (14/09/2026).</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Natura del documento</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Documento interno di lavoro. Non è un parere legale e non sostituisce la valutazione del legale e del notaio incaricati.</w:t>
            </w:r>
          </w:p>
        </w:tc>
      </w:tr>
    </w:tbl>
    <w:p>
      <w:pPr>
        <w:spacing w:after="30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Avvertenza metodologica</w:t>
            </w:r>
          </w:p>
          <w:p>
            <w:pPr>
              <w:spacing w:after="60" w:line="264"/>
              <w:jc w:val="both"/>
            </w:pPr>
            <w:r>
              <w:rPr>
                <w:rFonts w:ascii="Calibri" w:cs="Calibri" w:eastAsia="Calibri" w:hAnsi="Calibri"/>
                <w:color w:val="2A3340"/>
                <w:sz w:val="19"/>
                <w:szCs w:val="19"/>
              </w:rPr>
              <w:t xml:space="preserve">Le disposizioni del Codice dei contratti pubblici e le pronunce citate sono state riscontrate attraverso ricerca web su fonti professionali e istituzionali secondarie. In questa sessione non è stato possibile accedere direttamente ai testi su Normattiva e sul portale ANAC: prima di qualunque uso esterno, gli estremi e il testo letterale delle norme e delle sentenze citate vanno riverificati sulla fonte ufficiale.</w:t>
            </w:r>
          </w:p>
          <w:p>
            <w:pPr>
              <w:spacing w:after="60" w:line="264"/>
              <w:jc w:val="both"/>
            </w:pPr>
            <w:r>
              <w:rPr>
                <w:rFonts w:ascii="Calibri" w:cs="Calibri" w:eastAsia="Calibri" w:hAnsi="Calibri"/>
                <w:color w:val="2A3340"/>
                <w:sz w:val="19"/>
                <w:szCs w:val="19"/>
              </w:rPr>
              <w:t xml:space="preserve">Le informazioni sui bandi provengono da comunicati delle stazioni appaltanti e dalla stampa tecnica di settore. Importi, lotti e scadenze vanno confermati sulla documentazione di gara pubblicata sui rispettivi portali prima di assumere qualsiasi decisione.</w:t>
            </w:r>
          </w:p>
          <w:p>
            <w:pPr>
              <w:spacing w:after="60" w:line="264"/>
              <w:jc w:val="both"/>
            </w:pPr>
            <w:r>
              <w:rPr>
                <w:rFonts w:ascii="Calibri" w:cs="Calibri" w:eastAsia="Calibri" w:hAnsi="Calibri"/>
                <w:color w:val="2A3340"/>
                <w:sz w:val="19"/>
                <w:szCs w:val="19"/>
              </w:rPr>
              <w:t xml:space="preserve">I riferimenti al contratto di rete sono invece tratti dalla lettura diretta e integrale del file agli atti.</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Indice</w:t>
      </w:r>
    </w:p>
    <w:sdt>
      <w:sdtPr>
        <w:alias w:val="Somma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Sintesi per la riunione</w:t>
      </w:r>
    </w:p>
    <w:p>
      <w:pPr>
        <w:spacing w:after="120" w:before="0" w:line="276"/>
        <w:jc w:val="both"/>
      </w:pPr>
      <w:r>
        <w:rPr>
          <w:rFonts w:ascii="Calibri" w:cs="Calibri" w:eastAsia="Calibri" w:hAnsi="Calibri"/>
          <w:color w:val="222222"/>
          <w:sz w:val="21"/>
          <w:szCs w:val="21"/>
        </w:rPr>
        <w:t xml:space="preserve">Cinque messaggi. Se il tempo in riunione è poco, sono questi i punti su cui serve una decisione collegiale.</w:t>
      </w:r>
    </w:p>
    <w:p>
      <w:pPr>
        <w:pStyle w:val="Heading3"/>
        <w:spacing w:after="100" w:before="220"/>
      </w:pPr>
      <w:r>
        <w:rPr>
          <w:rFonts w:ascii="Calibri" w:cs="Calibri" w:eastAsia="Calibri" w:hAnsi="Calibri"/>
          <w:b/>
          <w:bCs/>
          <w:color w:val="8A6D3B"/>
          <w:sz w:val="21"/>
          <w:szCs w:val="21"/>
        </w:rPr>
        <w:t xml:space="preserve">1. La rete può concorrere alle gare di ingegneria, ma non è lo strumento che molti di noi hanno in mente</w:t>
      </w:r>
    </w:p>
    <w:p>
      <w:pPr>
        <w:spacing w:after="120" w:before="0" w:line="276"/>
        <w:jc w:val="both"/>
      </w:pPr>
      <w:r>
        <w:rPr>
          <w:rFonts w:ascii="Calibri" w:cs="Calibri" w:eastAsia="Calibri" w:hAnsi="Calibri"/>
          <w:color w:val="222222"/>
          <w:sz w:val="21"/>
          <w:szCs w:val="21"/>
        </w:rPr>
        <w:t xml:space="preserve">L’art. 65, comma 2, lettera g) del D.Lgs. 36/2023 ammette espressamente fra gli operatori economici le </w:t>
      </w:r>
      <w:r>
        <w:rPr>
          <w:rFonts w:ascii="Calibri" w:cs="Calibri" w:eastAsia="Calibri" w:hAnsi="Calibri"/>
          <w:i/>
          <w:iCs/>
          <w:color w:val="222222"/>
          <w:sz w:val="21"/>
          <w:szCs w:val="21"/>
        </w:rPr>
        <w:t xml:space="preserve">«aggregazioni tra imprese aderenti al contratto di rete»</w:t>
      </w:r>
      <w:r>
        <w:rPr>
          <w:rFonts w:ascii="Calibri" w:cs="Calibri" w:eastAsia="Calibri" w:hAnsi="Calibri"/>
          <w:color w:val="222222"/>
          <w:sz w:val="21"/>
          <w:szCs w:val="21"/>
        </w:rPr>
        <w:t xml:space="preserve">, e l’art. 68, comma 20 vi estende, in quanto compatibili, le regole dei raggruppamenti temporanei e dei consorzi ordinari. Ma l’art. 66 — la norma </w:t>
      </w:r>
      <w:r>
        <w:rPr>
          <w:rFonts w:ascii="Calibri" w:cs="Calibri" w:eastAsia="Calibri" w:hAnsi="Calibri"/>
          <w:i/>
          <w:iCs/>
          <w:color w:val="222222"/>
          <w:sz w:val="21"/>
          <w:szCs w:val="21"/>
        </w:rPr>
        <w:t xml:space="preserve">speciale</w:t>
      </w:r>
      <w:r>
        <w:rPr>
          <w:rFonts w:ascii="Calibri" w:cs="Calibri" w:eastAsia="Calibri" w:hAnsi="Calibri"/>
          <w:color w:val="222222"/>
          <w:sz w:val="21"/>
          <w:szCs w:val="21"/>
        </w:rPr>
        <w:t xml:space="preserve"> che elenca chi può concorrere ai servizi di architettura e ingegneria — non nomina le reti in nessuna delle sue sette lettere. È una tensione normativa irrisolta, che si traduce in un rischio di esclusione per difetto di legittimazione soggettiva: un vizio che il soccorso istruttorio non sana.</w:t>
      </w:r>
    </w:p>
    <w:p>
      <w:pPr>
        <w:pStyle w:val="Heading3"/>
        <w:spacing w:after="100" w:before="220"/>
      </w:pPr>
      <w:r>
        <w:rPr>
          <w:rFonts w:ascii="Calibri" w:cs="Calibri" w:eastAsia="Calibri" w:hAnsi="Calibri"/>
          <w:b/>
          <w:bCs/>
          <w:color w:val="8A6D3B"/>
          <w:sz w:val="21"/>
          <w:szCs w:val="21"/>
        </w:rPr>
        <w:t xml:space="preserve">2. Il Consiglio di Stato ha chiuso nel 2025 la porta al cumulo dei requisiti</w:t>
      </w:r>
    </w:p>
    <w:p>
      <w:pPr>
        <w:spacing w:after="120" w:before="0" w:line="276"/>
        <w:jc w:val="both"/>
      </w:pPr>
      <w:r>
        <w:rPr>
          <w:rFonts w:ascii="Calibri" w:cs="Calibri" w:eastAsia="Calibri" w:hAnsi="Calibri"/>
          <w:color w:val="222222"/>
          <w:sz w:val="21"/>
          <w:szCs w:val="21"/>
        </w:rPr>
        <w:t xml:space="preserve">Con la sentenza della Sezione V n. 8289 del 27 ottobre 2025 è stato affermato che il </w:t>
      </w:r>
      <w:r>
        <w:rPr>
          <w:rFonts w:ascii="Calibri" w:cs="Calibri" w:eastAsia="Calibri" w:hAnsi="Calibri"/>
          <w:b/>
          <w:bCs/>
          <w:color w:val="222222"/>
          <w:sz w:val="21"/>
          <w:szCs w:val="21"/>
        </w:rPr>
        <w:t xml:space="preserve">cumulo alla rinfusa</w:t>
      </w:r>
      <w:r>
        <w:rPr>
          <w:rFonts w:ascii="Calibri" w:cs="Calibri" w:eastAsia="Calibri" w:hAnsi="Calibri"/>
          <w:color w:val="222222"/>
          <w:sz w:val="21"/>
          <w:szCs w:val="21"/>
        </w:rPr>
        <w:t xml:space="preserve"> è istituto eccezionale, riservato ai soli consorzi stabili, e non si estende alle reti di imprese, le quali — prive di soggettività economica unitaria — </w:t>
      </w:r>
      <w:r>
        <w:rPr>
          <w:rFonts w:ascii="Calibri" w:cs="Calibri" w:eastAsia="Calibri" w:hAnsi="Calibri"/>
          <w:b/>
          <w:bCs/>
          <w:color w:val="222222"/>
          <w:sz w:val="21"/>
          <w:szCs w:val="21"/>
        </w:rPr>
        <w:t xml:space="preserve">devono possedere i requisiti individualmente</w:t>
      </w:r>
      <w:r>
        <w:rPr>
          <w:rFonts w:ascii="Calibri" w:cs="Calibri" w:eastAsia="Calibri" w:hAnsi="Calibri"/>
          <w:color w:val="222222"/>
          <w:sz w:val="21"/>
          <w:szCs w:val="21"/>
        </w:rPr>
        <w:t xml:space="preserve">. La conseguenza pratica è netta: Masterplan somma i requisiti come un raggruppamento temporaneo, non come un consorzio stabile. Chi contava sulla rete per «fare massa critica» sui requisiti deve rivedere l’aspettativa.</w:t>
      </w:r>
    </w:p>
    <w:p>
      <w:pPr>
        <w:pStyle w:val="Heading3"/>
        <w:spacing w:after="100" w:before="220"/>
      </w:pPr>
      <w:r>
        <w:rPr>
          <w:rFonts w:ascii="Calibri" w:cs="Calibri" w:eastAsia="Calibri" w:hAnsi="Calibri"/>
          <w:b/>
          <w:bCs/>
          <w:color w:val="8A6D3B"/>
          <w:sz w:val="21"/>
          <w:szCs w:val="21"/>
        </w:rPr>
        <w:t xml:space="preserve">3. Il contratto è ancora una bozza, e finché resta tale la Rete non esiste come operatore economico</w:t>
      </w:r>
    </w:p>
    <w:p>
      <w:pPr>
        <w:spacing w:after="120" w:before="0" w:line="276"/>
        <w:jc w:val="both"/>
      </w:pPr>
      <w:r>
        <w:rPr>
          <w:rFonts w:ascii="Calibri" w:cs="Calibri" w:eastAsia="Calibri" w:hAnsi="Calibri"/>
          <w:color w:val="222222"/>
          <w:sz w:val="21"/>
          <w:szCs w:val="21"/>
        </w:rPr>
        <w:t xml:space="preserve">Il file agli atti è intitolato «Bozza»; mancano data di sottoscrizione, autentiche ed estremi di iscrizione. L’art. 42 prevede che il contratto </w:t>
      </w:r>
      <w:r>
        <w:rPr>
          <w:rFonts w:ascii="Calibri" w:cs="Calibri" w:eastAsia="Calibri" w:hAnsi="Calibri"/>
          <w:i/>
          <w:iCs/>
          <w:color w:val="222222"/>
          <w:sz w:val="21"/>
          <w:szCs w:val="21"/>
        </w:rPr>
        <w:t xml:space="preserve">«sarà iscritto»</w:t>
      </w:r>
      <w:r>
        <w:rPr>
          <w:rFonts w:ascii="Calibri" w:cs="Calibri" w:eastAsia="Calibri" w:hAnsi="Calibri"/>
          <w:color w:val="222222"/>
          <w:sz w:val="21"/>
          <w:szCs w:val="21"/>
        </w:rPr>
        <w:t xml:space="preserve"> nella Sezione Ordinaria del Registro delle Imprese di Benevento. La soggettività giuridica si acquista solo con quell’iscrizione, e presuppone atto pubblico, scrittura privata autenticata o atto firmato digitalmente ai sensi dell’art. 25 del CAD. </w:t>
      </w:r>
      <w:r>
        <w:rPr>
          <w:rFonts w:ascii="Calibri" w:cs="Calibri" w:eastAsia="Calibri" w:hAnsi="Calibri"/>
          <w:b/>
          <w:bCs/>
          <w:color w:val="222222"/>
          <w:sz w:val="21"/>
          <w:szCs w:val="21"/>
        </w:rPr>
        <w:t xml:space="preserve">Nessuna gara è aggredibile in forma di rete prima di quel passaggio.</w:t>
      </w:r>
    </w:p>
    <w:p>
      <w:pPr>
        <w:pStyle w:val="Heading3"/>
        <w:spacing w:after="100" w:before="220"/>
      </w:pPr>
      <w:r>
        <w:rPr>
          <w:rFonts w:ascii="Calibri" w:cs="Calibri" w:eastAsia="Calibri" w:hAnsi="Calibri"/>
          <w:b/>
          <w:bCs/>
          <w:color w:val="8A6D3B"/>
          <w:sz w:val="21"/>
          <w:szCs w:val="21"/>
        </w:rPr>
        <w:t xml:space="preserve">4. Il mercato si sta concentrando sugli accordi quadro, ed è il formato che premia una struttura come la nostra</w:t>
      </w:r>
    </w:p>
    <w:p>
      <w:pPr>
        <w:spacing w:after="120" w:before="0" w:line="276"/>
        <w:jc w:val="both"/>
      </w:pPr>
      <w:r>
        <w:rPr>
          <w:rFonts w:ascii="Calibri" w:cs="Calibri" w:eastAsia="Calibri" w:hAnsi="Calibri"/>
          <w:color w:val="222222"/>
          <w:sz w:val="21"/>
          <w:szCs w:val="21"/>
        </w:rPr>
        <w:t xml:space="preserve">Nei primi cinque mesi del 2026 il mercato delle gare di ingegneria e architettura è cresciuto del 63,4%. Ad aprile gli accordi quadro erano il 25,2% delle gare bandite ma il </w:t>
      </w:r>
      <w:r>
        <w:rPr>
          <w:rFonts w:ascii="Calibri" w:cs="Calibri" w:eastAsia="Calibri" w:hAnsi="Calibri"/>
          <w:b/>
          <w:bCs/>
          <w:color w:val="222222"/>
          <w:sz w:val="21"/>
          <w:szCs w:val="21"/>
        </w:rPr>
        <w:t xml:space="preserve">66% del valore complessivo</w:t>
      </w:r>
      <w:r>
        <w:rPr>
          <w:rFonts w:ascii="Calibri" w:cs="Calibri" w:eastAsia="Calibri" w:hAnsi="Calibri"/>
          <w:color w:val="222222"/>
          <w:sz w:val="21"/>
          <w:szCs w:val="21"/>
        </w:rPr>
        <w:t xml:space="preserve">. Sono però gare grandi, con requisiti dimensionali e multidisciplinari che nessuno di noi copre da solo: è esattamente lo spazio per cui una struttura aggregata ha senso. La domanda non è </w:t>
      </w:r>
      <w:r>
        <w:rPr>
          <w:rFonts w:ascii="Calibri" w:cs="Calibri" w:eastAsia="Calibri" w:hAnsi="Calibri"/>
          <w:i/>
          <w:iCs/>
          <w:color w:val="222222"/>
          <w:sz w:val="21"/>
          <w:szCs w:val="21"/>
        </w:rPr>
        <w:t xml:space="preserve">se</w:t>
      </w:r>
      <w:r>
        <w:rPr>
          <w:rFonts w:ascii="Calibri" w:cs="Calibri" w:eastAsia="Calibri" w:hAnsi="Calibri"/>
          <w:color w:val="222222"/>
          <w:sz w:val="21"/>
          <w:szCs w:val="21"/>
        </w:rPr>
        <w:t xml:space="preserve"> aggregarsi, ma </w:t>
      </w:r>
      <w:r>
        <w:rPr>
          <w:rFonts w:ascii="Calibri" w:cs="Calibri" w:eastAsia="Calibri" w:hAnsi="Calibri"/>
          <w:i/>
          <w:iCs/>
          <w:color w:val="222222"/>
          <w:sz w:val="21"/>
          <w:szCs w:val="21"/>
        </w:rPr>
        <w:t xml:space="preserve">con quale forma giuridica</w:t>
      </w:r>
      <w:r>
        <w:rPr>
          <w:rFonts w:ascii="Calibri" w:cs="Calibri" w:eastAsia="Calibri" w:hAnsi="Calibri"/>
          <w:color w:val="222222"/>
          <w:sz w:val="21"/>
          <w:szCs w:val="21"/>
        </w:rPr>
        <w:t xml:space="preserve">.</w:t>
      </w:r>
    </w:p>
    <w:p>
      <w:pPr>
        <w:pStyle w:val="Heading3"/>
        <w:spacing w:after="100" w:before="220"/>
      </w:pPr>
      <w:r>
        <w:rPr>
          <w:rFonts w:ascii="Calibri" w:cs="Calibri" w:eastAsia="Calibri" w:hAnsi="Calibri"/>
          <w:b/>
          <w:bCs/>
          <w:color w:val="8A6D3B"/>
          <w:sz w:val="21"/>
          <w:szCs w:val="21"/>
        </w:rPr>
        <w:t xml:space="preserve">5. Ci sono tre finestre aperte adesso, e su nessuna possiamo presentarci come rete</w:t>
      </w:r>
    </w:p>
    <w:p>
      <w:pPr>
        <w:spacing w:after="120" w:before="0" w:line="276"/>
        <w:jc w:val="both"/>
      </w:pPr>
      <w:r>
        <w:rPr>
          <w:rFonts w:ascii="Calibri" w:cs="Calibri" w:eastAsia="Calibri" w:hAnsi="Calibri"/>
          <w:color w:val="222222"/>
          <w:sz w:val="21"/>
          <w:szCs w:val="21"/>
        </w:rPr>
        <w:t xml:space="preserve">Regione Campania — Fiume Sarno (scadenza 25 settembre 2026), Agenzia del Demanio (2 ottobre 2026), Consip verifica della progettazione (6 ottobre 2026). Se vogliamo esserci su una di queste, la forma percorribile nei tempi è il raggruppamento temporaneo di professionisti fra gli stessi soggetti che compongono la rete. Il contratto di rete non va abbandonato: resta il presupposto organizzativo e commerciale dell’aggregazione, ma non è, oggi, il veicolo di gara.</w:t>
      </w:r>
    </w:p>
    <w:p>
      <w:pPr>
        <w:spacing w:after="16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FBF6EC"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La decisione da assumere in riunione</w:t>
            </w:r>
          </w:p>
          <w:p>
            <w:pPr>
              <w:spacing w:after="60" w:line="264"/>
              <w:jc w:val="both"/>
            </w:pPr>
            <w:r>
              <w:rPr>
                <w:rFonts w:ascii="Calibri" w:cs="Calibri" w:eastAsia="Calibri" w:hAnsi="Calibri"/>
                <w:color w:val="2A3340"/>
                <w:sz w:val="19"/>
                <w:szCs w:val="19"/>
              </w:rPr>
              <w:t xml:space="preserve">Se la Rete debba puntare a diventare il veicolo di gara (con le modifiche statutarie e i tempi che questo comporta), oppure restare la cornice commerciale e organizzativa entro cui si costituiscono, di volta in volta, raggruppamenti temporanei fra i retisti.</w:t>
            </w:r>
          </w:p>
          <w:p>
            <w:pPr>
              <w:spacing w:after="60" w:line="264"/>
              <w:jc w:val="both"/>
            </w:pPr>
            <w:r>
              <w:rPr>
                <w:rFonts w:ascii="Calibri" w:cs="Calibri" w:eastAsia="Calibri" w:hAnsi="Calibri"/>
                <w:color w:val="2A3340"/>
                <w:sz w:val="19"/>
                <w:szCs w:val="19"/>
              </w:rPr>
              <w:t xml:space="preserve">Le due strade non si escludono, ma la prima richiede scelte che vanno prese adesso: chi è l’operatore economico che riveste la funzione di organo comune, con quale capienza di fatturato, e con quali correzioni al testo prima della firma.</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 — Il quadro normativo</w:t>
      </w:r>
    </w:p>
    <w:p>
      <w:pPr>
        <w:pStyle w:val="Heading2"/>
        <w:spacing w:after="130" w:before="300"/>
      </w:pPr>
      <w:r>
        <w:rPr>
          <w:rFonts w:ascii="Calibri" w:cs="Calibri" w:eastAsia="Calibri" w:hAnsi="Calibri"/>
          <w:b/>
          <w:bCs/>
          <w:color w:val="1A3A5C"/>
          <w:sz w:val="24"/>
          <w:szCs w:val="24"/>
        </w:rPr>
        <w:t xml:space="preserve">1.1  Le reti come operatori economici: artt. 65 e 68 del Codice</w:t>
      </w:r>
    </w:p>
    <w:p>
      <w:pPr>
        <w:spacing w:after="120" w:before="0" w:line="276"/>
        <w:jc w:val="both"/>
      </w:pPr>
      <w:r>
        <w:rPr>
          <w:rFonts w:ascii="Calibri" w:cs="Calibri" w:eastAsia="Calibri" w:hAnsi="Calibri"/>
          <w:color w:val="222222"/>
          <w:sz w:val="21"/>
          <w:szCs w:val="21"/>
        </w:rPr>
        <w:t xml:space="preserve">Il Codice dei contratti pubblici (D.Lgs. 31 marzo 2023, n. 36) riconosce le reti di imprese come operatori economici legittimati a concorrere. Due sono le disposizioni rilevanti.</w:t>
      </w:r>
    </w:p>
    <w:p>
      <w:pPr>
        <w:pStyle w:val="ListParagraph"/>
        <w:numPr>
          <w:ilvl w:val="0"/>
          <w:numId w:val="2"/>
        </w:numPr>
        <w:spacing w:after="80" w:line="276"/>
        <w:jc w:val="both"/>
      </w:pPr>
      <w:r>
        <w:rPr>
          <w:rFonts w:ascii="Calibri" w:cs="Calibri" w:eastAsia="Calibri" w:hAnsi="Calibri"/>
          <w:b/>
          <w:bCs/>
          <w:color w:val="222222"/>
          <w:sz w:val="21"/>
          <w:szCs w:val="21"/>
        </w:rPr>
        <w:t xml:space="preserve">Art. 65, comma 2, lettera g)</w:t>
      </w:r>
      <w:r>
        <w:rPr>
          <w:rFonts w:ascii="Calibri" w:cs="Calibri" w:eastAsia="Calibri" w:hAnsi="Calibri"/>
          <w:color w:val="222222"/>
          <w:sz w:val="21"/>
          <w:szCs w:val="21"/>
        </w:rPr>
        <w:t xml:space="preserve"> — include fra i soggetti ammessi a partecipare alle procedure di affidamento le «aggregazioni tra imprese aderenti al contratto di rete» di cui all’art. 3, comma 4-ter, del D.L. 10 febbraio 2009, n. 5, convertito con L. 9 aprile 2009, n. 33. È la norma su cui si fonda la legittimazione generale.</w:t>
      </w:r>
    </w:p>
    <w:p>
      <w:pPr>
        <w:pStyle w:val="ListParagraph"/>
        <w:numPr>
          <w:ilvl w:val="0"/>
          <w:numId w:val="2"/>
        </w:numPr>
        <w:spacing w:after="80" w:line="276"/>
        <w:jc w:val="both"/>
      </w:pPr>
      <w:r>
        <w:rPr>
          <w:rFonts w:ascii="Calibri" w:cs="Calibri" w:eastAsia="Calibri" w:hAnsi="Calibri"/>
          <w:b/>
          <w:bCs/>
          <w:color w:val="222222"/>
          <w:sz w:val="21"/>
          <w:szCs w:val="21"/>
        </w:rPr>
        <w:t xml:space="preserve">Art. 68, comma 20</w:t>
      </w:r>
      <w:r>
        <w:rPr>
          <w:rFonts w:ascii="Calibri" w:cs="Calibri" w:eastAsia="Calibri" w:hAnsi="Calibri"/>
          <w:color w:val="222222"/>
          <w:sz w:val="21"/>
          <w:szCs w:val="21"/>
        </w:rPr>
        <w:t xml:space="preserve"> — dispone che alle aggregazioni di retisti si applicano, </w:t>
      </w:r>
      <w:r>
        <w:rPr>
          <w:rFonts w:ascii="Calibri" w:cs="Calibri" w:eastAsia="Calibri" w:hAnsi="Calibri"/>
          <w:i/>
          <w:iCs/>
          <w:color w:val="222222"/>
          <w:sz w:val="21"/>
          <w:szCs w:val="21"/>
        </w:rPr>
        <w:t xml:space="preserve">in quanto compatibili</w:t>
      </w:r>
      <w:r>
        <w:rPr>
          <w:rFonts w:ascii="Calibri" w:cs="Calibri" w:eastAsia="Calibri" w:hAnsi="Calibri"/>
          <w:color w:val="222222"/>
          <w:sz w:val="21"/>
          <w:szCs w:val="21"/>
        </w:rPr>
        <w:t xml:space="preserve">, le regole previste per i raggruppamenti temporanei e i consorzi ordinari. È la norma che governa il funzionamento concreto: quote, mandato, requisiti della mandataria, divieti di partecipazione plurima.</w:t>
      </w:r>
    </w:p>
    <w:p>
      <w:pPr>
        <w:spacing w:after="120" w:before="0" w:line="276"/>
        <w:jc w:val="both"/>
      </w:pPr>
      <w:r>
        <w:rPr>
          <w:rFonts w:ascii="Calibri" w:cs="Calibri" w:eastAsia="Calibri" w:hAnsi="Calibri"/>
          <w:color w:val="222222"/>
          <w:sz w:val="21"/>
          <w:szCs w:val="21"/>
        </w:rPr>
        <w:t xml:space="preserve">La clausola «in quanto compatibili» non è una formula di stile: significa che ogni istituto del raggruppamento va verificato caso per caso nella sua trasferibilità alla rete, e che dove la disciplina della rete presenta una specificità — la soggettività giuridica, l’organo comune, il fondo patrimoniale — prevale quest’ultima.</w:t>
      </w:r>
    </w:p>
    <w:p>
      <w:pPr>
        <w:pStyle w:val="Heading2"/>
        <w:spacing w:after="130" w:before="300"/>
      </w:pPr>
      <w:r>
        <w:rPr>
          <w:rFonts w:ascii="Calibri" w:cs="Calibri" w:eastAsia="Calibri" w:hAnsi="Calibri"/>
          <w:b/>
          <w:bCs/>
          <w:color w:val="1A3A5C"/>
          <w:sz w:val="24"/>
          <w:szCs w:val="24"/>
        </w:rPr>
        <w:t xml:space="preserve">1.2  Le tre configurazioni di rete e cosa cambia in gara</w:t>
      </w:r>
    </w:p>
    <w:p>
      <w:pPr>
        <w:spacing w:after="120" w:before="0" w:line="276"/>
        <w:jc w:val="both"/>
      </w:pPr>
      <w:r>
        <w:rPr>
          <w:rFonts w:ascii="Calibri" w:cs="Calibri" w:eastAsia="Calibri" w:hAnsi="Calibri"/>
          <w:color w:val="222222"/>
          <w:sz w:val="21"/>
          <w:szCs w:val="21"/>
        </w:rPr>
        <w:t xml:space="preserve">La disciplina di gara distingue tre configurazioni, con regimi documentali e di sottoscrizione differenti. La collocazione di Masterplan è nella prima.</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500"/>
        <w:gridCol w:w="3600"/>
        <w:gridCol w:w="3538"/>
      </w:tblGrid>
      <w:tr>
        <w:trPr>
          <w:tblHeader/>
        </w:trPr>
        <w:tc>
          <w:tcPr>
            <w:tcW w:type="dxa" w:w="25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Configurazione</w:t>
            </w:r>
          </w:p>
        </w:tc>
        <w:tc>
          <w:tcPr>
            <w:tcW w:type="dxa" w:w="36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Struttura</w:t>
            </w:r>
          </w:p>
        </w:tc>
        <w:tc>
          <w:tcPr>
            <w:tcW w:type="dxa" w:w="35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Come partecipa</w:t>
            </w:r>
          </w:p>
        </w:tc>
      </w:tr>
      <w:tr>
        <w:tc>
          <w:tcPr>
            <w:tcW w:type="dxa" w:w="2500"/>
            <w:tcMar>
              <w:top w:type="dxa" w:w="70"/>
              <w:left w:type="dxa" w:w="100"/>
              <w:bottom w:type="dxa" w:w="70"/>
              <w:right w:type="dxa" w:w="100"/>
            </w:tcMar>
            <w:vAlign w:val="center"/>
          </w:tcPr>
          <w:p>
            <w:pPr>
              <w:spacing w:after="40" w:line="250"/>
            </w:pPr>
            <w:r>
              <w:rPr>
                <w:rFonts w:ascii="Calibri" w:cs="Calibri" w:eastAsia="Calibri" w:hAnsi="Calibri"/>
                <w:b/>
                <w:bCs/>
                <w:color w:val="222222"/>
                <w:sz w:val="18"/>
                <w:szCs w:val="18"/>
              </w:rPr>
              <w:t xml:space="preserve">Rete-soggetto</w:t>
            </w:r>
          </w:p>
          <w:p>
            <w:pPr>
              <w:spacing w:after="0" w:line="250"/>
            </w:pPr>
            <w:r>
              <w:rPr>
                <w:rFonts w:ascii="Calibri" w:cs="Calibri" w:eastAsia="Calibri" w:hAnsi="Calibri"/>
                <w:b/>
                <w:bCs/>
                <w:i/>
                <w:iCs/>
                <w:color w:val="8A6D3B"/>
                <w:sz w:val="18"/>
                <w:szCs w:val="18"/>
              </w:rPr>
              <w:t xml:space="preserve">(configurazione Masterplan)</w:t>
            </w:r>
          </w:p>
        </w:tc>
        <w:tc>
          <w:tcPr>
            <w:tcW w:type="dxa" w:w="3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Organo comune con potere di rappresentanza + soggettività giuridica acquisita con l’iscrizione nella Sezione Ordinaria del Registro delle Imprese</w:t>
            </w:r>
          </w:p>
        </w:tc>
        <w:tc>
          <w:tcPr>
            <w:tcW w:type="dxa" w:w="35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Partecipa a mezzo dell’organo comune, che assume il ruolo di mandatario purché in possesso dei relativi requisiti. La domanda è sottoscritta dal solo operatore che riveste la funzione di organo comune. L’organo comune deve obbligatoriamente far parte dei retisti indicati per la gara.</w:t>
            </w:r>
          </w:p>
        </w:tc>
      </w:tr>
      <w:tr>
        <w:tc>
          <w:tcPr>
            <w:tcW w:type="dxa" w:w="2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Rete-contratto con organo comune rappresentativo</w:t>
            </w:r>
          </w:p>
        </w:tc>
        <w:tc>
          <w:tcPr>
            <w:tcW w:type="dxa" w:w="3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Organo comune con potere di rappresentanza, senza soggettività giuridica</w:t>
            </w:r>
          </w:p>
        </w:tc>
        <w:tc>
          <w:tcPr>
            <w:tcW w:type="dxa" w:w="35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Partecipa tramite l’organo comune in forza del mandato risultante dal contratto di rete, con carico documentale intermedio.</w:t>
            </w:r>
          </w:p>
        </w:tc>
      </w:tr>
      <w:tr>
        <w:tc>
          <w:tcPr>
            <w:tcW w:type="dxa" w:w="25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Rete priva di organo comune, o con organo comune privo di rappresentanza</w:t>
            </w:r>
          </w:p>
        </w:tc>
        <w:tc>
          <w:tcPr>
            <w:tcW w:type="dxa" w:w="3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Nessun mandato collettivo opponibile ai terzi</w:t>
            </w:r>
          </w:p>
        </w:tc>
        <w:tc>
          <w:tcPr>
            <w:tcW w:type="dxa" w:w="35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Deve costituirsi, o impegnarsi a costituirsi, in raggruppamento temporaneo secondo le regole ordinarie: mandato collettivo speciale con rappresentanza, sottoscrizione da parte di tutti i componenti.</w:t>
            </w:r>
          </w:p>
        </w:tc>
      </w:tr>
    </w:tbl>
    <w:p>
      <w:pPr>
        <w:spacing w:after="140"/>
      </w:pPr>
    </w:p>
    <w:p>
      <w:pPr>
        <w:spacing w:after="120" w:before="0" w:line="276"/>
        <w:jc w:val="both"/>
      </w:pPr>
      <w:r>
        <w:rPr>
          <w:rFonts w:ascii="Calibri" w:cs="Calibri" w:eastAsia="Calibri" w:hAnsi="Calibri"/>
          <w:color w:val="222222"/>
          <w:sz w:val="21"/>
          <w:szCs w:val="21"/>
        </w:rPr>
        <w:t xml:space="preserve">La giurisprudenza amministrativa ha precisato che, nella rete-soggetto, la partecipazione avviene </w:t>
      </w:r>
      <w:r>
        <w:rPr>
          <w:rFonts w:ascii="Calibri" w:cs="Calibri" w:eastAsia="Calibri" w:hAnsi="Calibri"/>
          <w:b/>
          <w:bCs/>
          <w:color w:val="222222"/>
          <w:sz w:val="21"/>
          <w:szCs w:val="21"/>
        </w:rPr>
        <w:t xml:space="preserve">a condizione che l’organo comune possieda i requisiti di qualificazione previsti per la mandataria</w:t>
      </w:r>
      <w:r>
        <w:rPr>
          <w:rFonts w:ascii="Calibri" w:cs="Calibri" w:eastAsia="Calibri" w:hAnsi="Calibri"/>
          <w:color w:val="222222"/>
          <w:sz w:val="21"/>
          <w:szCs w:val="21"/>
        </w:rPr>
        <w:t xml:space="preserve">, e che la mandataria deve in ogni caso possedere i requisiti ed eseguire le prestazioni in misura maggioritaria rispetto a ciascuna delle mandanti. È il vincolo che condiziona più di ogni altro l’architettura interna della nostra aggregazione.</w:t>
      </w:r>
    </w:p>
    <w:p>
      <w:pPr>
        <w:pStyle w:val="Heading2"/>
        <w:spacing w:after="130" w:before="300"/>
      </w:pPr>
      <w:r>
        <w:rPr>
          <w:rFonts w:ascii="Calibri" w:cs="Calibri" w:eastAsia="Calibri" w:hAnsi="Calibri"/>
          <w:b/>
          <w:bCs/>
          <w:color w:val="1A3A5C"/>
          <w:sz w:val="24"/>
          <w:szCs w:val="24"/>
        </w:rPr>
        <w:t xml:space="preserve">1.3  Il nodo dell’art. 66: le reti non sono nell’elenco dei soggetti ammessi ai SIA</w:t>
      </w:r>
    </w:p>
    <w:p>
      <w:pPr>
        <w:spacing w:after="120" w:before="0" w:line="276"/>
        <w:jc w:val="both"/>
      </w:pPr>
      <w:r>
        <w:rPr>
          <w:rFonts w:ascii="Calibri" w:cs="Calibri" w:eastAsia="Calibri" w:hAnsi="Calibri"/>
          <w:color w:val="222222"/>
          <w:sz w:val="21"/>
          <w:szCs w:val="21"/>
        </w:rPr>
        <w:t xml:space="preserve">L’art. 66 del Codice è la norma speciale che individua gli operatori economici ammessi all’affidamento dei servizi di architettura e ingegneria. Il comma 1 si apre con una clausola di apertura — «nel rispetto del principio di non discriminazione fra i diversi soggetti sulla base della forma giuridica assunta» — e prosegue con un elenco di sette lettere.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800"/>
        <w:gridCol w:w="8838"/>
      </w:tblGrid>
      <w:tr>
        <w:trPr>
          <w:tblHeader/>
        </w:trPr>
        <w:tc>
          <w:tcPr>
            <w:tcW w:type="dxa" w:w="8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Lett.</w:t>
            </w:r>
          </w:p>
        </w:tc>
        <w:tc>
          <w:tcPr>
            <w:tcW w:type="dxa" w:w="88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Soggetto ammesso ai servizi di architettura e ingegneria</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Prestatori di servizi di ingegneria e architettura: professionisti singoli, associati, società tra professionisti, società di ingegneria, consorzi, GEIE, raggruppamenti temporanei fra i predetti soggetti che rendono a committenti pubblici e privati, operando sul mercato, servizi di ingegneria e architettura; inclusi i restauratori di beni culturali e gli archeologi professionisti</w:t>
            </w:r>
          </w:p>
        </w:tc>
      </w:tr>
      <w:tr>
        <w:tc>
          <w:tcPr>
            <w:tcW w:type="dxa" w:w="8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b)</w:t>
            </w:r>
          </w:p>
        </w:tc>
        <w:tc>
          <w:tcPr>
            <w:tcW w:type="dxa" w:w="8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tra professionisti</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di ingegneria</w:t>
            </w:r>
          </w:p>
        </w:tc>
      </w:tr>
      <w:tr>
        <w:tc>
          <w:tcPr>
            <w:tcW w:type="dxa" w:w="8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d)</w:t>
            </w:r>
          </w:p>
        </w:tc>
        <w:tc>
          <w:tcPr>
            <w:tcW w:type="dxa" w:w="8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Prestatori di servizi di ingegneria e architettura stabiliti in altri Stati membri</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e)</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Altri soggetti abilitati in forza del diritto nazionale a offrire sul mercato servizi di ingegneria e architettura</w:t>
            </w:r>
          </w:p>
        </w:tc>
      </w:tr>
      <w:tr>
        <w:tc>
          <w:tcPr>
            <w:tcW w:type="dxa" w:w="8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f)</w:t>
            </w:r>
          </w:p>
        </w:tc>
        <w:tc>
          <w:tcPr>
            <w:tcW w:type="dxa" w:w="8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Raggruppamenti temporanei costituiti dai soggetti di cui alle lettere da a) a e)</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Consorzi stabili di società di professionisti e di società di ingegneria, anche in forma mista</w:t>
            </w:r>
          </w:p>
        </w:tc>
      </w:tr>
    </w:tbl>
    <w:p>
      <w:pPr>
        <w:spacing w:after="140"/>
      </w:pPr>
    </w:p>
    <w:p>
      <w:pPr>
        <w:spacing w:after="120" w:before="0" w:line="276"/>
        <w:jc w:val="both"/>
      </w:pPr>
      <w:r>
        <w:rPr>
          <w:rFonts w:ascii="Calibri" w:cs="Calibri" w:eastAsia="Calibri" w:hAnsi="Calibri"/>
          <w:b/>
          <w:bCs/>
          <w:color w:val="222222"/>
          <w:sz w:val="21"/>
          <w:szCs w:val="21"/>
        </w:rPr>
        <w:t xml:space="preserve">Le aggregazioni di retisti non compaiono in nessuna delle sette lettere.</w:t>
      </w:r>
      <w:r>
        <w:rPr>
          <w:rFonts w:ascii="Calibri" w:cs="Calibri" w:eastAsia="Calibri" w:hAnsi="Calibri"/>
          <w:color w:val="222222"/>
          <w:sz w:val="21"/>
          <w:szCs w:val="21"/>
        </w:rPr>
        <w:t xml:space="preserve"> Questa è la criticità strutturale con cui dobbiamo fare i conti, e non è un problema teorico: si è già presentata in concreto sul bando della Regione Campania per il Fiume Sarno, dove il disciplinare disciplina le reti in almeno quattro punti diversi (soggetti ammessi, requisiti nelle forme associate, garanzia provvisoria, documentazione amministrativa) ma la clausola speciale che elenca i soggetti ammessi ai lotti di servizi non le menziona.</w:t>
      </w:r>
    </w:p>
    <w:p>
      <w:pPr>
        <w:spacing w:after="10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Le due letture possibili, e perché la questione resta aperta</w:t>
            </w:r>
          </w:p>
          <w:p>
            <w:pPr>
              <w:spacing w:after="60" w:line="264"/>
              <w:jc w:val="both"/>
            </w:pPr>
            <w:r>
              <w:rPr>
                <w:rFonts w:ascii="Calibri" w:cs="Calibri" w:eastAsia="Calibri" w:hAnsi="Calibri"/>
                <w:color w:val="2A3340"/>
                <w:sz w:val="19"/>
                <w:szCs w:val="19"/>
              </w:rPr>
              <w:t xml:space="preserve">A favore dell’ammissibilità: ciascun retista è già di per sé un soggetto ex art. 66, l’aggregazione opera con la logica del raggruppamento temporaneo della lettera f), e l’art. 68 comma 20 estende alle reti la disciplina dei raggruppamenti. Il principio di non discriminazione in ragione della forma giuridica, posto in apertura dell’art. 66, milita nella stessa direzione.</w:t>
            </w:r>
          </w:p>
          <w:p>
            <w:pPr>
              <w:spacing w:after="60" w:line="264"/>
              <w:jc w:val="both"/>
            </w:pPr>
            <w:r>
              <w:rPr>
                <w:rFonts w:ascii="Calibri" w:cs="Calibri" w:eastAsia="Calibri" w:hAnsi="Calibri"/>
                <w:color w:val="2A3340"/>
                <w:sz w:val="19"/>
                <w:szCs w:val="19"/>
              </w:rPr>
              <w:t xml:space="preserve">Contro: l’art. 66 è norma speciale rispetto all’art. 65, e l’elenco potrebbe essere letto come tassativo da una commissione rigorosa. Inoltre la rete-soggetto, avendo soggettività giuridica autonoma, non è né una società di ingegneria né una società tra professionisti: andrebbe ricondotta alla lettera e), con l’onere di possedere in proprio i requisiti previsti per gli «altri soggetti abilitati» (oggetto sociale comprensivo dei SIA, organigramma, direttore tecnico con abilitazione da almeno dieci anni).</w:t>
            </w:r>
          </w:p>
          <w:p>
            <w:pPr>
              <w:spacing w:after="60" w:line="264"/>
              <w:jc w:val="both"/>
            </w:pPr>
            <w:r>
              <w:rPr>
                <w:rFonts w:ascii="Calibri" w:cs="Calibri" w:eastAsia="Calibri" w:hAnsi="Calibri"/>
                <w:color w:val="2A3340"/>
                <w:sz w:val="19"/>
                <w:szCs w:val="19"/>
              </w:rPr>
              <w:t xml:space="preserve">Regola operativa: su ogni gara in cui si valuti la partecipazione come rete, presentare istanza di chiarimento alla stazione appaltante nei termini del disciplinare e non presentare offerta senza risposta scritta favorevole, tenendo pronto il ripiego sul raggruppamento temporaneo.</w:t>
            </w:r>
          </w:p>
        </w:tc>
      </w:tr>
    </w:tbl>
    <w:p>
      <w:pPr>
        <w:pStyle w:val="Heading2"/>
        <w:spacing w:after="130" w:before="300"/>
      </w:pPr>
      <w:r>
        <w:rPr>
          <w:rFonts w:ascii="Calibri" w:cs="Calibri" w:eastAsia="Calibri" w:hAnsi="Calibri"/>
          <w:b/>
          <w:bCs/>
          <w:color w:val="1A3A5C"/>
          <w:sz w:val="24"/>
          <w:szCs w:val="24"/>
        </w:rPr>
        <w:t xml:space="preserve">1.4  Il Bando tipo ANAC n. 2/2026: la nuova cornice vincolante</w:t>
      </w:r>
    </w:p>
    <w:p>
      <w:pPr>
        <w:spacing w:after="120" w:before="0" w:line="276"/>
        <w:jc w:val="both"/>
      </w:pPr>
      <w:r>
        <w:rPr>
          <w:rFonts w:ascii="Calibri" w:cs="Calibri" w:eastAsia="Calibri" w:hAnsi="Calibri"/>
          <w:color w:val="222222"/>
          <w:sz w:val="21"/>
          <w:szCs w:val="21"/>
        </w:rPr>
        <w:t xml:space="preserve">Con delibera n. 153 del 15 aprile 2026 l’ANAC ha approvato il </w:t>
      </w:r>
      <w:r>
        <w:rPr>
          <w:rFonts w:ascii="Calibri" w:cs="Calibri" w:eastAsia="Calibri" w:hAnsi="Calibri"/>
          <w:b/>
          <w:bCs/>
          <w:color w:val="222222"/>
          <w:sz w:val="21"/>
          <w:szCs w:val="21"/>
        </w:rPr>
        <w:t xml:space="preserve">Bando tipo n. 2/2026</w:t>
      </w:r>
      <w:r>
        <w:rPr>
          <w:rFonts w:ascii="Calibri" w:cs="Calibri" w:eastAsia="Calibri" w:hAnsi="Calibri"/>
          <w:color w:val="222222"/>
          <w:sz w:val="21"/>
          <w:szCs w:val="21"/>
        </w:rPr>
        <w:t xml:space="preserve"> per l’affidamento dei servizi di architettura e ingegneria di importo pari o superiore alle soglie di rilevanza europea, con aggiudicazione secondo il criterio dell’offerta economicamente più vantaggiosa. È in vigore dal 30 maggio 2026. </w:t>
      </w:r>
      <w:r>
        <w:rPr>
          <w:rFonts w:ascii="Calibri" w:cs="Calibri" w:eastAsia="Calibri" w:hAnsi="Calibri"/>
          <w:b/>
          <w:bCs/>
          <w:color w:val="222222"/>
          <w:sz w:val="21"/>
          <w:szCs w:val="21"/>
        </w:rPr>
        <w:t xml:space="preserve">Non è un modello facoltativo</w:t>
      </w:r>
      <w:r>
        <w:rPr>
          <w:rFonts w:ascii="Calibri" w:cs="Calibri" w:eastAsia="Calibri" w:hAnsi="Calibri"/>
          <w:color w:val="222222"/>
          <w:sz w:val="21"/>
          <w:szCs w:val="21"/>
        </w:rPr>
        <w:t xml:space="preserve">: ai sensi dell’art. 103 del Codice i bandi tipo ANAC sono vincolanti per le stazioni appaltanti, che possono discostarsene solo con motivazione espressa.</w:t>
      </w:r>
    </w:p>
    <w:p>
      <w:pPr>
        <w:spacing w:after="120" w:before="0" w:line="276"/>
        <w:jc w:val="both"/>
      </w:pPr>
      <w:r>
        <w:rPr>
          <w:rFonts w:ascii="Calibri" w:cs="Calibri" w:eastAsia="Calibri" w:hAnsi="Calibri"/>
          <w:color w:val="222222"/>
          <w:sz w:val="21"/>
          <w:szCs w:val="21"/>
        </w:rPr>
        <w:t xml:space="preserve">Per noi conta per tre ragioni.</w:t>
      </w:r>
    </w:p>
    <w:p>
      <w:pPr>
        <w:pStyle w:val="ListParagraph"/>
        <w:numPr>
          <w:ilvl w:val="0"/>
          <w:numId w:val="3"/>
        </w:numPr>
        <w:spacing w:after="110" w:line="276"/>
        <w:jc w:val="both"/>
      </w:pPr>
      <w:r>
        <w:rPr>
          <w:rFonts w:ascii="Calibri" w:cs="Calibri" w:eastAsia="Calibri" w:hAnsi="Calibri"/>
          <w:b/>
          <w:bCs/>
          <w:color w:val="222222"/>
          <w:sz w:val="21"/>
          <w:szCs w:val="21"/>
        </w:rPr>
        <w:t xml:space="preserve">Standardizza la struttura dei disciplinari. </w:t>
      </w:r>
      <w:r>
        <w:rPr>
          <w:rFonts w:ascii="Calibri" w:cs="Calibri" w:eastAsia="Calibri" w:hAnsi="Calibri"/>
          <w:color w:val="222222"/>
          <w:sz w:val="21"/>
          <w:szCs w:val="21"/>
        </w:rPr>
        <w:t xml:space="preserve">Le clausole sulle aggregazioni di retisti — chi sottoscrive, chi produce il DGUE, quali requisiti devono possedere l’organo comune e i singoli retisti — tenderanno a ripetersi identiche da una gara all’altra. Una volta costruita la nostra checklist documentale, è riutilizzabile.</w:t>
      </w:r>
    </w:p>
    <w:p>
      <w:pPr>
        <w:pStyle w:val="ListParagraph"/>
        <w:numPr>
          <w:ilvl w:val="0"/>
          <w:numId w:val="3"/>
        </w:numPr>
        <w:spacing w:after="110" w:line="276"/>
        <w:jc w:val="both"/>
      </w:pPr>
      <w:r>
        <w:rPr>
          <w:rFonts w:ascii="Calibri" w:cs="Calibri" w:eastAsia="Calibri" w:hAnsi="Calibri"/>
          <w:b/>
          <w:bCs/>
          <w:color w:val="222222"/>
          <w:sz w:val="21"/>
          <w:szCs w:val="21"/>
        </w:rPr>
        <w:t xml:space="preserve">Istituzionalizza il BIM. </w:t>
      </w:r>
      <w:r>
        <w:rPr>
          <w:rFonts w:ascii="Calibri" w:cs="Calibri" w:eastAsia="Calibri" w:hAnsi="Calibri"/>
          <w:color w:val="222222"/>
          <w:sz w:val="21"/>
          <w:szCs w:val="21"/>
        </w:rPr>
        <w:t xml:space="preserve">Il Building Information Modeling non è più un elemento accessorio valutato in modo discrezionale, ma un processo codificato che permea l’intera struttura del capitolato. Serve una capacità BIM certificata e documentabile, non dichiarata.</w:t>
      </w:r>
    </w:p>
    <w:p>
      <w:pPr>
        <w:pStyle w:val="ListParagraph"/>
        <w:numPr>
          <w:ilvl w:val="0"/>
          <w:numId w:val="3"/>
        </w:numPr>
        <w:spacing w:after="110" w:line="276"/>
        <w:jc w:val="both"/>
      </w:pPr>
      <w:r>
        <w:rPr>
          <w:rFonts w:ascii="Calibri" w:cs="Calibri" w:eastAsia="Calibri" w:hAnsi="Calibri"/>
          <w:b/>
          <w:bCs/>
          <w:color w:val="222222"/>
          <w:sz w:val="21"/>
          <w:szCs w:val="21"/>
        </w:rPr>
        <w:t xml:space="preserve">Consolida la regola dell’equo compenso. </w:t>
      </w:r>
      <w:r>
        <w:rPr>
          <w:rFonts w:ascii="Calibri" w:cs="Calibri" w:eastAsia="Calibri" w:hAnsi="Calibri"/>
          <w:color w:val="222222"/>
          <w:sz w:val="21"/>
          <w:szCs w:val="21"/>
        </w:rPr>
        <w:t xml:space="preserve">Il 65% dell’importo determinato per i corrispettivi professionali è prezzo fisso; solo il restante 35% è soggetto a confronto concorrenziale. Il margine di manovra sul prezzo è quindi limitato: la competizione si sposta sui contenuti tecnici, che è precisamente il terreno su cui una struttura multidisciplinare può giocare.</w:t>
      </w:r>
    </w:p>
    <w:p>
      <w:pPr>
        <w:pStyle w:val="Heading2"/>
        <w:spacing w:after="130" w:before="300"/>
      </w:pPr>
      <w:r>
        <w:rPr>
          <w:rFonts w:ascii="Calibri" w:cs="Calibri" w:eastAsia="Calibri" w:hAnsi="Calibri"/>
          <w:b/>
          <w:bCs/>
          <w:color w:val="1A3A5C"/>
          <w:sz w:val="24"/>
          <w:szCs w:val="24"/>
        </w:rPr>
        <w:t xml:space="preserve">1.5  I requisiti per tipologia soggettiva: Allegato II.12, Parte V</w:t>
      </w:r>
    </w:p>
    <w:p>
      <w:pPr>
        <w:spacing w:after="120" w:before="0" w:line="276"/>
        <w:jc w:val="both"/>
      </w:pPr>
      <w:r>
        <w:rPr>
          <w:rFonts w:ascii="Calibri" w:cs="Calibri" w:eastAsia="Calibri" w:hAnsi="Calibri"/>
          <w:color w:val="222222"/>
          <w:sz w:val="21"/>
          <w:szCs w:val="21"/>
        </w:rPr>
        <w:t xml:space="preserve">Qualunque sia la forma di partecipazione, ciascun componente dell’aggregazione deve possedere i requisiti previsti per la propria natura giuridica dagli artt. 34-40 dell’Allegato II.12, Parte V, al Codice — disposizioni che hanno assorbito il contenuto del previgente D.M. 2 dicembre 2016, n. 263.</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100"/>
        <w:gridCol w:w="3100"/>
        <w:gridCol w:w="5438"/>
      </w:tblGrid>
      <w:tr>
        <w:trPr>
          <w:tblHeader/>
        </w:trPr>
        <w:tc>
          <w:tcPr>
            <w:tcW w:type="dxa" w:w="1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Art.</w:t>
            </w:r>
          </w:p>
        </w:tc>
        <w:tc>
          <w:tcPr>
            <w:tcW w:type="dxa" w:w="3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Soggetto</w:t>
            </w:r>
          </w:p>
        </w:tc>
        <w:tc>
          <w:tcPr>
            <w:tcW w:type="dxa" w:w="54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Requisito essenziale</w:t>
            </w:r>
          </w:p>
        </w:tc>
      </w:tr>
      <w:tr>
        <w:tc>
          <w:tcPr>
            <w:tcW w:type="dxa" w:w="11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34</w:t>
            </w:r>
          </w:p>
        </w:tc>
        <w:tc>
          <w:tcPr>
            <w:tcW w:type="dxa" w:w="3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Professionisti singoli e associati</w:t>
            </w:r>
          </w:p>
        </w:tc>
        <w:tc>
          <w:tcPr>
            <w:tcW w:type="dxa" w:w="54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Iscrizione all’albo professionale; per gli studi associati, requisiti in capo a ciascun associato che svolge le prestazioni</w:t>
            </w:r>
          </w:p>
        </w:tc>
      </w:tr>
      <w:tr>
        <w:tc>
          <w:tcPr>
            <w:tcW w:type="dxa" w:w="1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35</w:t>
            </w:r>
          </w:p>
        </w:tc>
        <w:tc>
          <w:tcPr>
            <w:tcW w:type="dxa" w:w="3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tra professionisti</w:t>
            </w:r>
          </w:p>
        </w:tc>
        <w:tc>
          <w:tcPr>
            <w:tcW w:type="dxa" w:w="54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 professionisti iscritti agli albi; prestazioni eseguite da soci o con la collaborazione di dipendenti e consulenti; disciplina dei rapporti con i consulenti su base annua muniti di partita IVA</w:t>
            </w:r>
          </w:p>
        </w:tc>
      </w:tr>
      <w:tr>
        <w:tc>
          <w:tcPr>
            <w:tcW w:type="dxa" w:w="11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36</w:t>
            </w:r>
          </w:p>
        </w:tc>
        <w:tc>
          <w:tcPr>
            <w:tcW w:type="dxa" w:w="3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di ingegneria</w:t>
            </w:r>
          </w:p>
        </w:tc>
        <w:tc>
          <w:tcPr>
            <w:tcW w:type="dxa" w:w="54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Almeno un direttore tecnico laureato in ingegneria, architettura o disciplina tecnica attinente all’attività prevalente, abilitato all’esercizio della professione da almeno dieci anni e iscritto all’albo al momento dell’assunzione dell’incarico; organigramma dei soggetti impegnati nelle attività tecnico-professionali (soci, amministratori, dipendenti, consulenti su base annua con partita IVA)</w:t>
            </w:r>
          </w:p>
        </w:tc>
      </w:tr>
      <w:tr>
        <w:tc>
          <w:tcPr>
            <w:tcW w:type="dxa" w:w="1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37</w:t>
            </w:r>
          </w:p>
        </w:tc>
        <w:tc>
          <w:tcPr>
            <w:tcW w:type="dxa" w:w="3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Altri soggetti abilitati</w:t>
            </w:r>
          </w:p>
        </w:tc>
        <w:tc>
          <w:tcPr>
            <w:tcW w:type="dxa" w:w="54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Oggetto sociale comprensivo dei SIA; organigramma; almeno un direttore tecnico con laurea, abilitazione da almeno dieci anni, iscrizione all’albo, regolarità contributiva, assicurativa e di aggiornamento professionale</w:t>
            </w:r>
          </w:p>
        </w:tc>
      </w:tr>
      <w:tr>
        <w:tc>
          <w:tcPr>
            <w:tcW w:type="dxa" w:w="11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38</w:t>
            </w:r>
          </w:p>
        </w:tc>
        <w:tc>
          <w:tcPr>
            <w:tcW w:type="dxa" w:w="3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Consorzi stabili</w:t>
            </w:r>
          </w:p>
        </w:tc>
        <w:tc>
          <w:tcPr>
            <w:tcW w:type="dxa" w:w="54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Struttura stabile di società di professionisti e/o di ingegneria; è l’unica figura cui la giurisprudenza riconosce il cumulo alla rinfusa</w:t>
            </w:r>
          </w:p>
        </w:tc>
      </w:tr>
      <w:tr>
        <w:tc>
          <w:tcPr>
            <w:tcW w:type="dxa" w:w="1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39</w:t>
            </w:r>
          </w:p>
        </w:tc>
        <w:tc>
          <w:tcPr>
            <w:tcW w:type="dxa" w:w="3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Raggruppamenti temporanei</w:t>
            </w:r>
          </w:p>
        </w:tc>
        <w:tc>
          <w:tcPr>
            <w:tcW w:type="dxa" w:w="54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Requisiti in capo a ciascun componente secondo la propria natura; obbligo di prevedere almeno un giovane professionista, laureato abilitato da meno di cinque anni, quale progettista; i requisiti del giovane non concorrono alla formazione dei requisiti di partecipazione</w:t>
            </w:r>
          </w:p>
        </w:tc>
      </w:tr>
    </w:tbl>
    <w:p>
      <w:pPr>
        <w:spacing w:after="140"/>
      </w:pPr>
    </w:p>
    <w:p>
      <w:pPr>
        <w:spacing w:after="120" w:before="0" w:line="276"/>
        <w:jc w:val="both"/>
      </w:pPr>
      <w:r>
        <w:rPr>
          <w:rFonts w:ascii="Calibri" w:cs="Calibri" w:eastAsia="Calibri" w:hAnsi="Calibri"/>
          <w:color w:val="222222"/>
          <w:sz w:val="21"/>
          <w:szCs w:val="21"/>
        </w:rPr>
        <w:t xml:space="preserve">Due implicazioni dirette per noi. Primo: </w:t>
      </w:r>
      <w:r>
        <w:rPr>
          <w:rFonts w:ascii="Calibri" w:cs="Calibri" w:eastAsia="Calibri" w:hAnsi="Calibri"/>
          <w:b/>
          <w:bCs/>
          <w:color w:val="222222"/>
          <w:sz w:val="21"/>
          <w:szCs w:val="21"/>
        </w:rPr>
        <w:t xml:space="preserve">ciascuna società di ingegneria retista deve disporre di un proprio direttore tecnico</w:t>
      </w:r>
      <w:r>
        <w:rPr>
          <w:rFonts w:ascii="Calibri" w:cs="Calibri" w:eastAsia="Calibri" w:hAnsi="Calibri"/>
          <w:color w:val="222222"/>
          <w:sz w:val="21"/>
          <w:szCs w:val="21"/>
        </w:rPr>
        <w:t xml:space="preserve"> con abilitazione da almeno dieci anni. È requisito del singolo soggetto, non dell’aggregazione, e va verificato società per società — non si copre con il direttore tecnico di un altro retista. Secondo: poiché alle aggregazioni di retisti si applica la disciplina dei raggruppamenti, </w:t>
      </w:r>
      <w:r>
        <w:rPr>
          <w:rFonts w:ascii="Calibri" w:cs="Calibri" w:eastAsia="Calibri" w:hAnsi="Calibri"/>
          <w:b/>
          <w:bCs/>
          <w:color w:val="222222"/>
          <w:sz w:val="21"/>
          <w:szCs w:val="21"/>
        </w:rPr>
        <w:t xml:space="preserve">l’obbligo del giovane professionista va considerato applicabile in via prudenziale</w:t>
      </w:r>
      <w:r>
        <w:rPr>
          <w:rFonts w:ascii="Calibri" w:cs="Calibri" w:eastAsia="Calibri" w:hAnsi="Calibri"/>
          <w:color w:val="222222"/>
          <w:sz w:val="21"/>
          <w:szCs w:val="21"/>
        </w:rPr>
        <w:t xml:space="preserve">. Il costo di inserirlo è nullo; il rischio di ometterlo è l’esclusione.</w:t>
      </w:r>
    </w:p>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II — La svolta del 2025: niente cumulo alla rinfusa per le reti</w:t>
      </w:r>
    </w:p>
    <w:p>
      <w:pPr>
        <w:pStyle w:val="Heading2"/>
        <w:spacing w:after="130" w:before="300"/>
      </w:pPr>
      <w:r>
        <w:rPr>
          <w:rFonts w:ascii="Calibri" w:cs="Calibri" w:eastAsia="Calibri" w:hAnsi="Calibri"/>
          <w:b/>
          <w:bCs/>
          <w:color w:val="1A3A5C"/>
          <w:sz w:val="24"/>
          <w:szCs w:val="24"/>
        </w:rPr>
        <w:t xml:space="preserve">2.1  Che cosa ha deciso il Consiglio di Stato</w:t>
      </w:r>
    </w:p>
    <w:p>
      <w:pPr>
        <w:spacing w:after="120" w:before="0" w:line="276"/>
        <w:jc w:val="both"/>
      </w:pPr>
      <w:r>
        <w:rPr>
          <w:rFonts w:ascii="Calibri" w:cs="Calibri" w:eastAsia="Calibri" w:hAnsi="Calibri"/>
          <w:color w:val="222222"/>
          <w:sz w:val="21"/>
          <w:szCs w:val="21"/>
        </w:rPr>
        <w:t xml:space="preserve">Il «cumulo alla rinfusa» è il meccanismo che consente a un soggetto plurisoggettivo di sommare e far valere come propri i requisiti di qualificazione delle imprese che lo compongono, senza che ciascuna debba possedere una quota corrispondente alla prestazione che eseguirà. È il vantaggio competitivo classico del consorzio stabile.</w:t>
      </w:r>
    </w:p>
    <w:p>
      <w:pPr>
        <w:spacing w:after="120" w:before="0" w:line="276"/>
        <w:jc w:val="both"/>
      </w:pPr>
      <w:r>
        <w:rPr>
          <w:rFonts w:ascii="Calibri" w:cs="Calibri" w:eastAsia="Calibri" w:hAnsi="Calibri"/>
          <w:color w:val="222222"/>
          <w:sz w:val="21"/>
          <w:szCs w:val="21"/>
        </w:rPr>
        <w:t xml:space="preserve">Nel corso del 2025 la questione della sua estensibilità alle reti di imprese è stata oggetto di un contrasto, ora risolto. Il </w:t>
      </w:r>
      <w:r>
        <w:rPr>
          <w:rFonts w:ascii="Calibri" w:cs="Calibri" w:eastAsia="Calibri" w:hAnsi="Calibri"/>
          <w:b/>
          <w:bCs/>
          <w:color w:val="222222"/>
          <w:sz w:val="21"/>
          <w:szCs w:val="21"/>
        </w:rPr>
        <w:t xml:space="preserve">TAR Emilia-Romagna, con la sentenza n. 472/2025</w:t>
      </w:r>
      <w:r>
        <w:rPr>
          <w:rFonts w:ascii="Calibri" w:cs="Calibri" w:eastAsia="Calibri" w:hAnsi="Calibri"/>
          <w:color w:val="222222"/>
          <w:sz w:val="21"/>
          <w:szCs w:val="21"/>
        </w:rPr>
        <w:t xml:space="preserve">, aveva ammesso il cumulo per una rete, valorizzando l’art. 68, comma 20 e l’assimilazione sostanziale al consorzio stabile. Il </w:t>
      </w:r>
      <w:r>
        <w:rPr>
          <w:rFonts w:ascii="Calibri" w:cs="Calibri" w:eastAsia="Calibri" w:hAnsi="Calibri"/>
          <w:b/>
          <w:bCs/>
          <w:color w:val="222222"/>
          <w:sz w:val="21"/>
          <w:szCs w:val="21"/>
        </w:rPr>
        <w:t xml:space="preserve">Consiglio di Stato, Sezione V, con sentenza n. 8289 del 27 ottobre 2025</w:t>
      </w:r>
      <w:r>
        <w:rPr>
          <w:rFonts w:ascii="Calibri" w:cs="Calibri" w:eastAsia="Calibri" w:hAnsi="Calibri"/>
          <w:color w:val="222222"/>
          <w:sz w:val="21"/>
          <w:szCs w:val="21"/>
        </w:rPr>
        <w:t xml:space="preserve">, ha affermato il principio opposto e destinato a prevalere.</w:t>
      </w:r>
    </w:p>
    <w:p>
      <w:pPr>
        <w:spacing w:after="10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FAEDED"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Il principio affermato</w:t>
            </w:r>
          </w:p>
          <w:p>
            <w:pPr>
              <w:spacing w:after="60" w:line="264"/>
              <w:jc w:val="both"/>
            </w:pPr>
            <w:r>
              <w:rPr>
                <w:rFonts w:ascii="Calibri" w:cs="Calibri" w:eastAsia="Calibri" w:hAnsi="Calibri"/>
                <w:color w:val="2A3340"/>
                <w:sz w:val="19"/>
                <w:szCs w:val="19"/>
              </w:rPr>
              <w:t xml:space="preserve">Il cumulo alla rinfusa è istituto di carattere eccezionale, valevole per i soli consorzi stabili, e in assenza di una norma espressa che lo consenta non può essere esteso alle reti di imprese.</w:t>
            </w:r>
          </w:p>
          <w:p>
            <w:pPr>
              <w:spacing w:after="60" w:line="264"/>
              <w:jc w:val="both"/>
            </w:pPr>
            <w:r>
              <w:rPr>
                <w:rFonts w:ascii="Calibri" w:cs="Calibri" w:eastAsia="Calibri" w:hAnsi="Calibri"/>
                <w:color w:val="2A3340"/>
                <w:sz w:val="19"/>
                <w:szCs w:val="19"/>
              </w:rPr>
              <w:t xml:space="preserve">La ratio: il cumulo si fonda sull’avvalimento reciproco fra consorzio e consorziate, reso possibile dal rapporto organico stabile e dalla natura del consorzio stabile quale struttura imprenditoriale autonoma e permanente, dotata di personalità giuridica distinta e costituita con scopo mutualistico.</w:t>
            </w:r>
          </w:p>
          <w:p>
            <w:pPr>
              <w:spacing w:after="60" w:line="264"/>
              <w:jc w:val="both"/>
            </w:pPr>
            <w:r>
              <w:rPr>
                <w:rFonts w:ascii="Calibri" w:cs="Calibri" w:eastAsia="Calibri" w:hAnsi="Calibri"/>
                <w:color w:val="2A3340"/>
                <w:sz w:val="19"/>
                <w:szCs w:val="19"/>
              </w:rPr>
              <w:t xml:space="preserve">Le reti di imprese, prive di una struttura autonoma in questo senso e di soggettività economica unitaria, devono possedere i requisiti individualmente.</w:t>
            </w:r>
          </w:p>
        </w:tc>
      </w:tr>
    </w:tbl>
    <w:p>
      <w:pPr>
        <w:pStyle w:val="Heading2"/>
        <w:spacing w:after="130" w:before="300"/>
      </w:pPr>
      <w:r>
        <w:rPr>
          <w:rFonts w:ascii="Calibri" w:cs="Calibri" w:eastAsia="Calibri" w:hAnsi="Calibri"/>
          <w:b/>
          <w:bCs/>
          <w:color w:val="1A3A5C"/>
          <w:sz w:val="24"/>
          <w:szCs w:val="24"/>
        </w:rPr>
        <w:t xml:space="preserve">2.2  Che cosa significa concretamente per Masterplan</w:t>
      </w:r>
    </w:p>
    <w:p>
      <w:pPr>
        <w:spacing w:after="120" w:before="0" w:line="276"/>
        <w:jc w:val="both"/>
      </w:pPr>
      <w:r>
        <w:rPr>
          <w:rFonts w:ascii="Calibri" w:cs="Calibri" w:eastAsia="Calibri" w:hAnsi="Calibri"/>
          <w:color w:val="222222"/>
          <w:sz w:val="21"/>
          <w:szCs w:val="21"/>
        </w:rPr>
        <w:t xml:space="preserve">Questo è il punto che cambia le aspettative di chi ha costruito la rete pensando a un moltiplicatore di capacità. Vale la pena essere espliciti.</w:t>
      </w:r>
    </w:p>
    <w:p>
      <w:pPr>
        <w:pStyle w:val="ListParagraph"/>
        <w:numPr>
          <w:ilvl w:val="0"/>
          <w:numId w:val="2"/>
        </w:numPr>
        <w:spacing w:after="80" w:line="276"/>
        <w:jc w:val="both"/>
      </w:pPr>
      <w:r>
        <w:rPr>
          <w:rFonts w:ascii="Calibri" w:cs="Calibri" w:eastAsia="Calibri" w:hAnsi="Calibri"/>
          <w:b/>
          <w:bCs/>
          <w:color w:val="222222"/>
          <w:sz w:val="21"/>
          <w:szCs w:val="21"/>
        </w:rPr>
        <w:t xml:space="preserve">La rete somma i requisiti come un raggruppamento temporaneo, non come un consorzio stabile.</w:t>
      </w:r>
      <w:r>
        <w:rPr>
          <w:rFonts w:ascii="Calibri" w:cs="Calibri" w:eastAsia="Calibri" w:hAnsi="Calibri"/>
          <w:color w:val="222222"/>
          <w:sz w:val="21"/>
          <w:szCs w:val="21"/>
        </w:rPr>
        <w:t xml:space="preserve"> Il fatturato SIA dei nove retisti si cumula, ma con le regole del raggruppamento: ciascuno porta quello che ha, e la mandataria deve possedere i requisiti in misura percentuale superiore a ciascuna delle mandanti.</w:t>
      </w:r>
    </w:p>
    <w:p>
      <w:pPr>
        <w:pStyle w:val="ListParagraph"/>
        <w:numPr>
          <w:ilvl w:val="0"/>
          <w:numId w:val="2"/>
        </w:numPr>
        <w:spacing w:after="80" w:line="276"/>
        <w:jc w:val="both"/>
      </w:pPr>
      <w:r>
        <w:rPr>
          <w:rFonts w:ascii="Calibri" w:cs="Calibri" w:eastAsia="Calibri" w:hAnsi="Calibri"/>
          <w:b/>
          <w:bCs/>
          <w:color w:val="222222"/>
          <w:sz w:val="21"/>
          <w:szCs w:val="21"/>
        </w:rPr>
        <w:t xml:space="preserve">Il vantaggio competitivo rispetto a un RTP costituito fra gli stessi nove soggetti è, sul piano dei requisiti, nullo.</w:t>
      </w:r>
      <w:r>
        <w:rPr>
          <w:rFonts w:ascii="Calibri" w:cs="Calibri" w:eastAsia="Calibri" w:hAnsi="Calibri"/>
          <w:color w:val="222222"/>
          <w:sz w:val="21"/>
          <w:szCs w:val="21"/>
        </w:rPr>
        <w:t xml:space="preserve"> Il vantaggio della rete sta altrove: continuità del rapporto, marchio comune, struttura commerciale stabile, riduzione dei costi transattivi nel costituire di volta in volta un raggruppamento, possibilità di codatorialità e distacco del personale, accesso a strumenti di finanza agevolata riservati alle reti.</w:t>
      </w:r>
    </w:p>
    <w:p>
      <w:pPr>
        <w:pStyle w:val="ListParagraph"/>
        <w:numPr>
          <w:ilvl w:val="0"/>
          <w:numId w:val="2"/>
        </w:numPr>
        <w:spacing w:after="80" w:line="276"/>
        <w:jc w:val="both"/>
      </w:pPr>
      <w:r>
        <w:rPr>
          <w:rFonts w:ascii="Calibri" w:cs="Calibri" w:eastAsia="Calibri" w:hAnsi="Calibri"/>
          <w:b/>
          <w:bCs/>
          <w:color w:val="222222"/>
          <w:sz w:val="21"/>
          <w:szCs w:val="21"/>
        </w:rPr>
        <w:t xml:space="preserve">Il costo aggiuntivo della forma «rete» in gara è invece reale:</w:t>
      </w:r>
      <w:r>
        <w:rPr>
          <w:rFonts w:ascii="Calibri" w:cs="Calibri" w:eastAsia="Calibri" w:hAnsi="Calibri"/>
          <w:color w:val="222222"/>
          <w:sz w:val="21"/>
          <w:szCs w:val="21"/>
        </w:rPr>
        <w:t xml:space="preserve"> l’incertezza sull’ammissibilità ex art. 66, l’onere di iscrizione e aggiornamento al Registro delle Imprese, il requisito di iscrizione camerale in capo anche all’ente-rete, il carico documentale specifico.</w:t>
      </w:r>
    </w:p>
    <w:p>
      <w:pPr>
        <w:spacing w:after="120" w:before="0" w:line="276"/>
        <w:jc w:val="both"/>
      </w:pPr>
      <w:r>
        <w:rPr>
          <w:rFonts w:ascii="Calibri" w:cs="Calibri" w:eastAsia="Calibri" w:hAnsi="Calibri"/>
          <w:color w:val="222222"/>
          <w:sz w:val="21"/>
          <w:szCs w:val="21"/>
        </w:rPr>
        <w:t xml:space="preserve">La conclusione non è che la rete sia inutile: è che la rete è un asset organizzativo e commerciale, e solo in seconda battuta un veicolo di gara. Trattarla come veicolo di gara senza le correzioni descritte nella Parte IV espone a un rischio di esclusione che non è compensato da alcun vantaggio sui requisiti.</w:t>
      </w:r>
    </w:p>
    <w:p>
      <w:pPr>
        <w:pStyle w:val="Heading2"/>
        <w:spacing w:after="130" w:before="300"/>
      </w:pPr>
      <w:r>
        <w:rPr>
          <w:rFonts w:ascii="Calibri" w:cs="Calibri" w:eastAsia="Calibri" w:hAnsi="Calibri"/>
          <w:b/>
          <w:bCs/>
          <w:color w:val="1A3A5C"/>
          <w:sz w:val="24"/>
          <w:szCs w:val="24"/>
        </w:rPr>
        <w:t xml:space="preserve">2.3  Il confronto fra le tre forme aggregative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300"/>
        <w:gridCol w:w="2446"/>
        <w:gridCol w:w="2446"/>
        <w:gridCol w:w="2446"/>
      </w:tblGrid>
      <w:tr>
        <w:trPr>
          <w:tblHeader/>
        </w:trPr>
        <w:tc>
          <w:tcPr>
            <w:tcW w:type="dxa" w:w="23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Profilo</w:t>
            </w:r>
          </w:p>
        </w:tc>
        <w:tc>
          <w:tcPr>
            <w:tcW w:type="dxa" w:w="2446"/>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Rete-soggetto</w:t>
            </w:r>
          </w:p>
        </w:tc>
        <w:tc>
          <w:tcPr>
            <w:tcW w:type="dxa" w:w="2446"/>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RTP costituendo</w:t>
            </w:r>
          </w:p>
        </w:tc>
        <w:tc>
          <w:tcPr>
            <w:tcW w:type="dxa" w:w="2446"/>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Consorzio stabile</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Ammissibilità ai SIA ex art. 66</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Controversa: non elencata</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Pacifica: lett. f)</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Pacifica: lett. g)</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Cumulo alla rinfusa</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Escluso (Cons. Stato 8289/2025)</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Escluso</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Ammesso</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Chi sottoscrive l’offerta</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Solo l’organo comune</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Tutti i componenti</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consorzio</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Tempi di costituzione</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Atto notarile + iscrizione RI</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Immediati (impegno in offerta)</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Atto costitutivo + struttura stabile</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Stabilità del rapporto</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Alta, pluriennale</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Limitata alla singola gara</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Alta, strutturale</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Costi di mantenimento</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Contenuti (fondo comune, organi)</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Nulli fra una gara e l’altra</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Elevati (struttura autonoma)</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Adatto per</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Presidio commerciale continuativo e accordi quadro pluriennali</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Singola gara, tempi stretti</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Operatività continuativa con massa critica di requisiti</w:t>
            </w:r>
          </w:p>
        </w:tc>
      </w:tr>
    </w:tbl>
    <w:p>
      <w:pPr>
        <w:spacing w:after="140"/>
      </w:pPr>
    </w:p>
    <w:p>
      <w:pPr>
        <w:spacing w:after="120" w:before="0" w:line="276"/>
        <w:jc w:val="both"/>
      </w:pPr>
      <w:r>
        <w:rPr>
          <w:rFonts w:ascii="Calibri" w:cs="Calibri" w:eastAsia="Calibri" w:hAnsi="Calibri"/>
          <w:color w:val="222222"/>
          <w:sz w:val="21"/>
          <w:szCs w:val="21"/>
        </w:rPr>
        <w:t xml:space="preserve">Una terza via merita di essere messa sul tavolo: </w:t>
      </w:r>
      <w:r>
        <w:rPr>
          <w:rFonts w:ascii="Calibri" w:cs="Calibri" w:eastAsia="Calibri" w:hAnsi="Calibri"/>
          <w:b/>
          <w:bCs/>
          <w:color w:val="222222"/>
          <w:sz w:val="21"/>
          <w:szCs w:val="21"/>
        </w:rPr>
        <w:t xml:space="preserve">il consorzio stabile di società di ingegneria, anche in forma mista</w:t>
      </w:r>
      <w:r>
        <w:rPr>
          <w:rFonts w:ascii="Calibri" w:cs="Calibri" w:eastAsia="Calibri" w:hAnsi="Calibri"/>
          <w:color w:val="222222"/>
          <w:sz w:val="21"/>
          <w:szCs w:val="21"/>
        </w:rPr>
        <w:t xml:space="preserve">, espressamente ammesso dall’art. 66, comma 1, lettera g) e unico soggetto che gode del cumulo alla rinfusa. È la forma che darebbe a Masterplan ciò che oggi la rete non può dare. Richiede però una struttura imprenditoriale autonoma e permanente, con costi e impegni di ben altro ordine. È una decisione strategica, non una scelta tecnica, e come tale va portata in assemblea.</w:t>
      </w:r>
    </w:p>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III — Il mercato e i bandi delle maggiori stazioni appaltanti</w:t>
      </w:r>
    </w:p>
    <w:p>
      <w:pPr>
        <w:pStyle w:val="Heading2"/>
        <w:spacing w:after="130" w:before="300"/>
      </w:pPr>
      <w:r>
        <w:rPr>
          <w:rFonts w:ascii="Calibri" w:cs="Calibri" w:eastAsia="Calibri" w:hAnsi="Calibri"/>
          <w:b/>
          <w:bCs/>
          <w:color w:val="1A3A5C"/>
          <w:sz w:val="24"/>
          <w:szCs w:val="24"/>
        </w:rPr>
        <w:t xml:space="preserve">3.1  I numeri del 2026</w:t>
      </w:r>
    </w:p>
    <w:p>
      <w:pPr>
        <w:spacing w:after="120" w:before="0" w:line="276"/>
        <w:jc w:val="both"/>
      </w:pPr>
      <w:r>
        <w:rPr>
          <w:rFonts w:ascii="Calibri" w:cs="Calibri" w:eastAsia="Calibri" w:hAnsi="Calibri"/>
          <w:color w:val="222222"/>
          <w:sz w:val="21"/>
          <w:szCs w:val="21"/>
        </w:rPr>
        <w:t xml:space="preserve">I dati dell’Osservatorio OICE/Informatel sulle gare pubbliche di ingegneria e architettura descrivono un mercato in forte espansione e in rapida concentrazione.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200"/>
        <w:gridCol w:w="2600"/>
        <w:gridCol w:w="4838"/>
      </w:tblGrid>
      <w:tr>
        <w:trPr>
          <w:tblHeader/>
        </w:trPr>
        <w:tc>
          <w:tcPr>
            <w:tcW w:type="dxa" w:w="22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Periodo</w:t>
            </w:r>
          </w:p>
        </w:tc>
        <w:tc>
          <w:tcPr>
            <w:tcW w:type="dxa" w:w="26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Valore bandito</w:t>
            </w:r>
          </w:p>
        </w:tc>
        <w:tc>
          <w:tcPr>
            <w:tcW w:type="dxa" w:w="48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Nota</w:t>
            </w:r>
          </w:p>
        </w:tc>
      </w:tr>
      <w:tr>
        <w:tc>
          <w:tcPr>
            <w:tcW w:type="dxa" w:w="22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Gennaio 2026</w:t>
            </w:r>
          </w:p>
        </w:tc>
        <w:tc>
          <w:tcPr>
            <w:tcW w:type="dxa" w:w="2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64,7 mln €</w:t>
            </w:r>
          </w:p>
        </w:tc>
        <w:tc>
          <w:tcPr>
            <w:tcW w:type="dxa" w:w="4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 cui 53 mln di SIA e 11,7 mln di progettazione esecutiva da appalti integrati</w:t>
            </w:r>
          </w:p>
        </w:tc>
      </w:tr>
      <w:tr>
        <w:tc>
          <w:tcPr>
            <w:tcW w:type="dxa" w:w="22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Febbraio 2026</w:t>
            </w:r>
          </w:p>
        </w:tc>
        <w:tc>
          <w:tcPr>
            <w:tcW w:type="dxa" w:w="2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132,5 mln €</w:t>
            </w:r>
          </w:p>
        </w:tc>
        <w:tc>
          <w:tcPr>
            <w:tcW w:type="dxa" w:w="4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 cui 106,3 mln di SIA e 26,2 mln di progettazione esecutiva</w:t>
            </w:r>
          </w:p>
        </w:tc>
      </w:tr>
      <w:tr>
        <w:tc>
          <w:tcPr>
            <w:tcW w:type="dxa" w:w="22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Marzo 2026</w:t>
            </w:r>
          </w:p>
        </w:tc>
        <w:tc>
          <w:tcPr>
            <w:tcW w:type="dxa" w:w="2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474,5 mln €</w:t>
            </w:r>
          </w:p>
        </w:tc>
        <w:tc>
          <w:tcPr>
            <w:tcW w:type="dxa" w:w="4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+258% sul mese precedente, trainato da due maxi-bandi</w:t>
            </w:r>
          </w:p>
        </w:tc>
      </w:tr>
      <w:tr>
        <w:tc>
          <w:tcPr>
            <w:tcW w:type="dxa" w:w="22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Aprile 2026</w:t>
            </w:r>
          </w:p>
        </w:tc>
        <w:tc>
          <w:tcPr>
            <w:tcW w:type="dxa" w:w="2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~415 mln €</w:t>
            </w:r>
          </w:p>
        </w:tc>
        <w:tc>
          <w:tcPr>
            <w:tcW w:type="dxa" w:w="4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254 gare, di cui 64 accordi quadro: il 25,2% delle gare ma il 66% del valore (273,7 mln €)</w:t>
            </w:r>
          </w:p>
        </w:tc>
      </w:tr>
      <w:tr>
        <w:tc>
          <w:tcPr>
            <w:tcW w:type="dxa" w:w="22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Maggio 2026</w:t>
            </w:r>
          </w:p>
        </w:tc>
        <w:tc>
          <w:tcPr>
            <w:tcW w:type="dxa" w:w="2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311,6 mln €</w:t>
            </w:r>
          </w:p>
        </w:tc>
        <w:tc>
          <w:tcPr>
            <w:tcW w:type="dxa" w:w="4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cumulato gennaio-maggio +63,4% sul 2025</w:t>
            </w:r>
          </w:p>
        </w:tc>
      </w:tr>
      <w:tr>
        <w:tc>
          <w:tcPr>
            <w:tcW w:type="dxa" w:w="22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Giugno 2026</w:t>
            </w:r>
          </w:p>
        </w:tc>
        <w:tc>
          <w:tcPr>
            <w:tcW w:type="dxa" w:w="2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1.662,8 mln €</w:t>
            </w:r>
          </w:p>
        </w:tc>
        <w:tc>
          <w:tcPr>
            <w:tcW w:type="dxa" w:w="4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+67,1% sull’anno precedente</w:t>
            </w:r>
          </w:p>
        </w:tc>
      </w:tr>
    </w:tbl>
    <w:p>
      <w:pPr>
        <w:spacing w:after="140"/>
      </w:pPr>
    </w:p>
    <w:p>
      <w:pPr>
        <w:spacing w:after="120" w:before="0" w:line="276"/>
        <w:jc w:val="both"/>
      </w:pPr>
      <w:r>
        <w:rPr>
          <w:rFonts w:ascii="Calibri" w:cs="Calibri" w:eastAsia="Calibri" w:hAnsi="Calibri"/>
          <w:color w:val="222222"/>
          <w:sz w:val="21"/>
          <w:szCs w:val="21"/>
        </w:rPr>
        <w:t xml:space="preserve">Il dato che conta strategicamente è quello di aprile: </w:t>
      </w:r>
      <w:r>
        <w:rPr>
          <w:rFonts w:ascii="Calibri" w:cs="Calibri" w:eastAsia="Calibri" w:hAnsi="Calibri"/>
          <w:b/>
          <w:bCs/>
          <w:color w:val="222222"/>
          <w:sz w:val="21"/>
          <w:szCs w:val="21"/>
        </w:rPr>
        <w:t xml:space="preserve">un quarto delle gare assorbe due terzi del valore</w:t>
      </w:r>
      <w:r>
        <w:rPr>
          <w:rFonts w:ascii="Calibri" w:cs="Calibri" w:eastAsia="Calibri" w:hAnsi="Calibri"/>
          <w:color w:val="222222"/>
          <w:sz w:val="21"/>
          <w:szCs w:val="21"/>
        </w:rPr>
        <w:t xml:space="preserve">, e sono accordi quadro. Il mercato si sta spostando da un modello a incarico singolo a un modello a contenitore pluriennale, in cui la stazione appaltante seleziona pochi operatori e poi affida per contratti attuativi. Per una struttura aggregata questo è il formato ideale — la multidisciplinarità e la capacità di presidio continuativo sono premiate — ma è anche quello con le soglie di accesso più alte.</w:t>
      </w:r>
    </w:p>
    <w:p>
      <w:pPr>
        <w:pStyle w:val="Heading2"/>
        <w:spacing w:after="130" w:before="300"/>
      </w:pPr>
      <w:r>
        <w:rPr>
          <w:rFonts w:ascii="Calibri" w:cs="Calibri" w:eastAsia="Calibri" w:hAnsi="Calibri"/>
          <w:b/>
          <w:bCs/>
          <w:color w:val="1A3A5C"/>
          <w:sz w:val="24"/>
          <w:szCs w:val="24"/>
        </w:rPr>
        <w:t xml:space="preserve">3.2  Censimento dei bandi delle maggiori stazioni appaltanti</w:t>
      </w:r>
    </w:p>
    <w:p>
      <w:pPr>
        <w:spacing w:after="120" w:before="0" w:line="276"/>
        <w:jc w:val="both"/>
      </w:pPr>
      <w:r>
        <w:rPr>
          <w:rFonts w:ascii="Calibri" w:cs="Calibri" w:eastAsia="Calibri" w:hAnsi="Calibri"/>
          <w:color w:val="222222"/>
          <w:sz w:val="21"/>
          <w:szCs w:val="21"/>
        </w:rPr>
        <w:t xml:space="preserve">Quadro delle procedure rilevanti per il perimetro SIA. </w:t>
      </w:r>
      <w:r>
        <w:rPr>
          <w:rFonts w:ascii="Calibri" w:cs="Calibri" w:eastAsia="Calibri" w:hAnsi="Calibri"/>
          <w:b/>
          <w:bCs/>
          <w:color w:val="222222"/>
          <w:sz w:val="21"/>
          <w:szCs w:val="21"/>
        </w:rPr>
        <w:t xml:space="preserve">Importi, lotti e scadenze vanno confermati sulla documentazione ufficiale prima di qualunque decisione</w:t>
      </w:r>
      <w:r>
        <w:rPr>
          <w:rFonts w:ascii="Calibri" w:cs="Calibri" w:eastAsia="Calibri" w:hAnsi="Calibri"/>
          <w:color w:val="222222"/>
          <w:sz w:val="21"/>
          <w:szCs w:val="21"/>
        </w:rPr>
        <w:t xml:space="preserve">: i dati che seguono provengono da comunicati istituzionali e stampa tecnica di settore.</w:t>
      </w:r>
    </w:p>
    <w:p>
      <w:pPr>
        <w:pStyle w:val="Heading3"/>
        <w:spacing w:after="100" w:before="220"/>
      </w:pPr>
      <w:r>
        <w:rPr>
          <w:rFonts w:ascii="Calibri" w:cs="Calibri" w:eastAsia="Calibri" w:hAnsi="Calibri"/>
          <w:b/>
          <w:bCs/>
          <w:color w:val="8A6D3B"/>
          <w:sz w:val="21"/>
          <w:szCs w:val="21"/>
        </w:rPr>
        <w:t xml:space="preserve">Finestre aperte con scadenza imminente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900"/>
        <w:gridCol w:w="3400"/>
        <w:gridCol w:w="1700"/>
        <w:gridCol w:w="2638"/>
      </w:tblGrid>
      <w:tr>
        <w:trPr>
          <w:tblHeader/>
        </w:trPr>
        <w:tc>
          <w:tcPr>
            <w:tcW w:type="dxa" w:w="19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Stazione appaltante</w:t>
            </w:r>
          </w:p>
        </w:tc>
        <w:tc>
          <w:tcPr>
            <w:tcW w:type="dxa" w:w="34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Oggetto</w:t>
            </w:r>
          </w:p>
        </w:tc>
        <w:tc>
          <w:tcPr>
            <w:tcW w:type="dxa" w:w="17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Importo</w:t>
            </w:r>
          </w:p>
        </w:tc>
        <w:tc>
          <w:tcPr>
            <w:tcW w:type="dxa" w:w="26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Scadenza offerte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Regione Campania — Centrale di Committenza Regionale</w:t>
            </w:r>
          </w:p>
        </w:tc>
        <w:tc>
          <w:tcPr>
            <w:tcW w:type="dxa" w:w="34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Proc. 4396/AQ/2026 — Accordo Quadro quadriennale, Programma strategico di riqualificazione ambientale e contrasto al rischio idraulico del bacino del Fiume Sarno. 7 lotti funzionali e territoriali, un unico operatore per lotto. I lotti 4-6 comprendono SIA prevalenti più una componente di indagini e rilievi qualificata come lavori (OS20-B, OS20-A, OS25, OG12)</w:t>
            </w:r>
          </w:p>
        </w:tc>
        <w:tc>
          <w:tcPr>
            <w:tcW w:type="dxa" w:w="17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406.990.761,29 €</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25 settembre 2026</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Agenzia del Demanio — Struttura per la Progettazione</w:t>
            </w:r>
          </w:p>
        </w:tc>
        <w:tc>
          <w:tcPr>
            <w:tcW w:type="dxa" w:w="3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Accordi Quadro triennali di servizi di architettura e ingegneria su tutto il territorio nazionale: progettazione in BIM, rilievi e indagini, direzione lavori e coordinamento della sicurezza, per efficientamento energetico, miglioramento sismico, ristrutturazione, restauro, rifunzionalizzazione e nuova edificazione. 4 lotti (3 territoriali per interventi fino a 5 mln €, 1 nazionale oltre). Fino a 36 operatori selezionati, con apertura esplicita a liberi professionisti, microimprese e PMI</w:t>
            </w:r>
          </w:p>
        </w:tc>
        <w:tc>
          <w:tcPr>
            <w:tcW w:type="dxa" w:w="17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219.000.000 €</w:t>
            </w:r>
          </w:p>
        </w:tc>
        <w:tc>
          <w:tcPr>
            <w:tcW w:type="dxa" w:w="2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 ottobre 2026 h 12:00 (prorogata dal 21 settembre)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Consip</w:t>
            </w:r>
          </w:p>
        </w:tc>
        <w:tc>
          <w:tcPr>
            <w:tcW w:type="dxa" w:w="34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Primo Accordo Quadro per i servizi di verifica della progettazione (PFTE e progetti esecutivi), per nuove opere e interventi su immobili esistenti, inclusi beni tutelati. 6 lotti per valore e destinazione funzionale, durata 24 mesi, più aggiudicatari per lotto. Vincolo di partecipazione a 2 lotti fra 1 e 5; massimo 3 lotti complessivi considerando il lotto 6</w:t>
            </w:r>
          </w:p>
        </w:tc>
        <w:tc>
          <w:tcPr>
            <w:tcW w:type="dxa" w:w="17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51.000.000 € (fino a 73,44 mln €)</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6 ottobre 2026 h 16:00</w:t>
            </w:r>
          </w:p>
        </w:tc>
      </w:tr>
    </w:tbl>
    <w:p>
      <w:pPr>
        <w:spacing w:after="160"/>
      </w:pPr>
    </w:p>
    <w:p>
      <w:pPr>
        <w:pStyle w:val="Heading3"/>
        <w:spacing w:after="100" w:before="220"/>
      </w:pPr>
      <w:r>
        <w:rPr>
          <w:rFonts w:ascii="Calibri" w:cs="Calibri" w:eastAsia="Calibri" w:hAnsi="Calibri"/>
          <w:b/>
          <w:bCs/>
          <w:color w:val="8A6D3B"/>
          <w:sz w:val="21"/>
          <w:szCs w:val="21"/>
        </w:rPr>
        <w:t xml:space="preserve">Programmi e procedure di riferimento delle altre committenze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900"/>
        <w:gridCol w:w="5100"/>
        <w:gridCol w:w="2638"/>
      </w:tblGrid>
      <w:tr>
        <w:trPr>
          <w:tblHeader/>
        </w:trPr>
        <w:tc>
          <w:tcPr>
            <w:tcW w:type="dxa" w:w="19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Stazione appaltante</w:t>
            </w:r>
          </w:p>
        </w:tc>
        <w:tc>
          <w:tcPr>
            <w:tcW w:type="dxa" w:w="5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Oggetto / regime</w:t>
            </w:r>
          </w:p>
        </w:tc>
        <w:tc>
          <w:tcPr>
            <w:tcW w:type="dxa" w:w="26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Rilievo per la Rete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ANAS</w:t>
            </w:r>
          </w:p>
        </w:tc>
        <w:tc>
          <w:tcPr>
            <w:tcW w:type="dxa" w:w="5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Gara DG 11/25 — Accordo Quadro triennale per servizi di ingegneria su ponti e viadotti: fattibilità, progettazione tecnico-economica ed esecutiva, indagini diagnostiche e rilievi strutturali. 8 lotti territoriali, procedura aperta, 80 punti qualità / 20 prezzo, 28,8 mln €, offerte scadute il 15 gennaio 2026. In precedenza, Accordo Quadro SIA triennale su 2 lotti (Centro Nord; Centro, Sud e Isole) da 6 mln € per progettazione definitiva ed esecutiva di opere fino a 30 mln €, con requisito di fatturato pari a 1,5 volte l’importo a base d’asta nei tre migliori esercizi dell’ultimo quinquennio</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Modello ricorrente: accordi quadro a lotti territoriali, requisiti di fatturato severi, forte peso della componente qualitativa. Monitorare la riapertura del programma: è il committente più coerente con l’esperienza infrastrutturale della Rete</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RFI / Italferr (Gruppo FS)</w:t>
            </w:r>
          </w:p>
        </w:tc>
        <w:tc>
          <w:tcPr>
            <w:tcW w:type="dxa" w:w="5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Regime dei settori speciali. L’accesso non passa in via ordinaria per gare aperte ma per i Sistemi di Qualificazione: qualificazione di ingegneri e società di ingegneria per la progettazione di opere civili di infrastruttura ferroviaria e fabbricati, progettazione di tracciati e piani di stazione, rilievi della geometria del binario; e Sistema di Qualificazione dei fornitori di servizi di supporto ai gruppi di progettazione di Italferr</w:t>
            </w:r>
          </w:p>
        </w:tc>
        <w:tc>
          <w:tcPr>
            <w:tcW w:type="dxa" w:w="2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Priorità operativa distinta: prima ci si qualifica, poi si viene invitati. Ogni retista interessato va qualificato singolarmente; la qualificazione non è un requisito che la Rete può cumulare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Consip — altre iniziative 2026</w:t>
            </w:r>
          </w:p>
        </w:tc>
        <w:tc>
          <w:tcPr>
            <w:tcW w:type="dxa" w:w="5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Accordo Quadro per l’adeguamento antincendio degli edifici scolastici (98 mln €); collaudi statici per l’ammodernamento autostradale (43,5 mln €); servizi professionali BIM per la Pubblica Amministrazione (58 mln €)</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Consip si sta strutturando come committente stabile di servizi tecnici. Presidiare il portale acquistinretepa.it e il Piano industriale 2026-2029</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Invitalia (per conto del Ministero della Cultura)</w:t>
            </w:r>
          </w:p>
        </w:tc>
        <w:tc>
          <w:tcPr>
            <w:tcW w:type="dxa" w:w="5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Accordi Quadro per lavori e servizi di ingegneria e architettura a servizio di 105 interventi del Piano di investimenti strategici su siti del patrimonio culturale, edifici e aree naturali (PNRR Missione 1, Componente 3, Fondo Complementare). Ciascuna procedura articolata in massimo 3 lotti geografici (nord, centro, sud)</w:t>
            </w:r>
          </w:p>
        </w:tc>
        <w:tc>
          <w:tcPr>
            <w:tcW w:type="dxa" w:w="2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Terreno naturale per le competenze su beni culturali e restauro presenti in Rete. Richiede archeologi iscritti all’Elenco Nazionale dei Professionisti dei Beni Culturali</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Utility idriche e reti energetiche (AQP, Terna, Snam, gestori idrici)</w:t>
            </w:r>
          </w:p>
        </w:tc>
        <w:tc>
          <w:tcPr>
            <w:tcW w:type="dxa" w:w="5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Regime dei settori speciali, con sistemi di qualificazione e albi fornitori propri. Acquedotto Pugliese pubblica bandi di qualificazione e gare attive su sezioni dedicate del proprio portale</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Accesso mediato dalla qualificazione preventiva. Da valutare come secondo fronte, dopo la messa in sicurezza della forma di partecipazione</w:t>
            </w:r>
          </w:p>
        </w:tc>
      </w:tr>
    </w:tbl>
    <w:p>
      <w:pPr>
        <w:spacing w:after="16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Che cosa ci dicono i bandi, letti insieme</w:t>
            </w:r>
          </w:p>
          <w:p>
            <w:pPr>
              <w:spacing w:after="60" w:line="264"/>
              <w:jc w:val="both"/>
            </w:pPr>
            <w:r>
              <w:rPr>
                <w:rFonts w:ascii="Calibri" w:cs="Calibri" w:eastAsia="Calibri" w:hAnsi="Calibri"/>
                <w:color w:val="2A3340"/>
                <w:sz w:val="19"/>
                <w:szCs w:val="19"/>
              </w:rPr>
              <w:t xml:space="preserve">Primo: la forma prevalente è l’accordo quadro pluriennale a lotti, spesso con più aggiudicatari e vincoli di partecipazione incrociata fra lotti. Presentarsi su più lotti impone di farlo sempre nella medesima forma e con la medesima compagine.</w:t>
            </w:r>
          </w:p>
          <w:p>
            <w:pPr>
              <w:spacing w:after="60" w:line="264"/>
              <w:jc w:val="both"/>
            </w:pPr>
            <w:r>
              <w:rPr>
                <w:rFonts w:ascii="Calibri" w:cs="Calibri" w:eastAsia="Calibri" w:hAnsi="Calibri"/>
                <w:color w:val="2A3340"/>
                <w:sz w:val="19"/>
                <w:szCs w:val="19"/>
              </w:rPr>
              <w:t xml:space="preserve">Secondo: il BIM è ormai un requisito di ammissione sostanziale, non un elemento premiale. Serve un BIM Manager certificato, un ambiente di condivisione dati e un piano di gestione informativa documentabili.</w:t>
            </w:r>
          </w:p>
          <w:p>
            <w:pPr>
              <w:spacing w:after="60" w:line="264"/>
              <w:jc w:val="both"/>
            </w:pPr>
            <w:r>
              <w:rPr>
                <w:rFonts w:ascii="Calibri" w:cs="Calibri" w:eastAsia="Calibri" w:hAnsi="Calibri"/>
                <w:color w:val="2A3340"/>
                <w:sz w:val="19"/>
                <w:szCs w:val="19"/>
              </w:rPr>
              <w:t xml:space="preserve">Terzo: le grandi committenze infrastrutturali di settore speciale (RFI, Italferr, utility) non si aggrediscono con la gara aperta ma con la qualificazione preventiva, che è un lavoro a sé e va avviato in parallelo.</w:t>
            </w:r>
          </w:p>
          <w:p>
            <w:pPr>
              <w:spacing w:after="60" w:line="264"/>
              <w:jc w:val="both"/>
            </w:pPr>
            <w:r>
              <w:rPr>
                <w:rFonts w:ascii="Calibri" w:cs="Calibri" w:eastAsia="Calibri" w:hAnsi="Calibri"/>
                <w:color w:val="2A3340"/>
                <w:sz w:val="19"/>
                <w:szCs w:val="19"/>
              </w:rPr>
              <w:t xml:space="preserve">Quarto: diversi bandi affiancano ai SIA componenti qualificate come lavori, con categorie SOA. Una rete di sole società di ingegneria e professionisti non le possiede e deve ricorrere all’avvalimento o includere un retista qualificato.</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IV — Gap analysis della Rete Masterplan</w:t>
      </w:r>
    </w:p>
    <w:p>
      <w:pPr>
        <w:pStyle w:val="Heading2"/>
        <w:spacing w:after="130" w:before="300"/>
      </w:pPr>
      <w:r>
        <w:rPr>
          <w:rFonts w:ascii="Calibri" w:cs="Calibri" w:eastAsia="Calibri" w:hAnsi="Calibri"/>
          <w:b/>
          <w:bCs/>
          <w:color w:val="1A3A5C"/>
          <w:sz w:val="24"/>
          <w:szCs w:val="24"/>
        </w:rPr>
        <w:t xml:space="preserve">4.1  Stato dell’atto e composizione</w:t>
      </w:r>
    </w:p>
    <w:p>
      <w:pPr>
        <w:spacing w:after="120" w:before="0" w:line="276"/>
        <w:jc w:val="both"/>
      </w:pPr>
      <w:r>
        <w:rPr>
          <w:rFonts w:ascii="Calibri" w:cs="Calibri" w:eastAsia="Calibri" w:hAnsi="Calibri"/>
          <w:color w:val="222222"/>
          <w:sz w:val="21"/>
          <w:szCs w:val="21"/>
        </w:rPr>
        <w:t xml:space="preserve">Il contratto istitutivo, nella versione R03 agli atti, configura Masterplan come rete dotata di soggettività giuridica ai sensi dell’art. 3, commi 4-ter e 4-quater, del D.L. 5/2009, con fondo patrimoniale comune (art. 10), organo comune di nove membri (art. 16) e sede in Benevento (art. 4). La durata è fissata al 31 dicembre 2050 (art. 29). L’art. 7, lettera g) indica la partecipazione a gare d’appalto pubbliche e private come «obiettivo principale della rete»; l’art. 19 attribuisce all’organo comune la firma digitale delle offerte e la sottoscrizione dei contratti di appalto.</w:t>
      </w:r>
    </w:p>
    <w:p>
      <w:pPr>
        <w:spacing w:after="120" w:before="0" w:line="276"/>
        <w:jc w:val="both"/>
      </w:pPr>
      <w:r>
        <w:rPr>
          <w:rFonts w:ascii="Calibri" w:cs="Calibri" w:eastAsia="Calibri" w:hAnsi="Calibri"/>
          <w:color w:val="222222"/>
          <w:sz w:val="21"/>
          <w:szCs w:val="21"/>
        </w:rPr>
        <w:t xml:space="preserve">Sul piano dei requisiti di gara, due elementi sono </w:t>
      </w:r>
      <w:r>
        <w:rPr>
          <w:rFonts w:ascii="Calibri" w:cs="Calibri" w:eastAsia="Calibri" w:hAnsi="Calibri"/>
          <w:b/>
          <w:bCs/>
          <w:color w:val="222222"/>
          <w:sz w:val="21"/>
          <w:szCs w:val="21"/>
        </w:rPr>
        <w:t xml:space="preserve">già conformi</w:t>
      </w:r>
      <w:r>
        <w:rPr>
          <w:rFonts w:ascii="Calibri" w:cs="Calibri" w:eastAsia="Calibri" w:hAnsi="Calibri"/>
          <w:color w:val="222222"/>
          <w:sz w:val="21"/>
          <w:szCs w:val="21"/>
        </w:rPr>
        <w:t xml:space="preserve"> alle prescrizioni ricorrenti nei disciplinari: la partecipazione congiunta alle gare risulta individuata come scopo strategico nel programma comune, e la durata della rete (2050) è ampiamente commisurata ai tempi di realizzazione di qualunque accordo quadro. Sono le due carenze più frequenti nelle reti che si presentano in gara, e noi non le abbiamo. Tutto il resto richiede intervento.</w:t>
      </w:r>
    </w:p>
    <w:p>
      <w:pPr>
        <w:spacing w:after="100"/>
      </w:pPr>
    </w:p>
    <w:p>
      <w:pPr>
        <w:pStyle w:val="Heading2"/>
        <w:spacing w:after="130" w:before="300"/>
      </w:pPr>
      <w:r>
        <w:rPr>
          <w:rFonts w:ascii="Calibri" w:cs="Calibri" w:eastAsia="Calibri" w:hAnsi="Calibri"/>
          <w:b/>
          <w:bCs/>
          <w:color w:val="1A3A5C"/>
          <w:sz w:val="24"/>
          <w:szCs w:val="24"/>
        </w:rPr>
        <w:t xml:space="preserve">4.2  Registro delle criticità</w:t>
      </w:r>
    </w:p>
    <w:p>
      <w:pPr>
        <w:spacing w:after="120" w:before="0" w:line="276"/>
        <w:jc w:val="both"/>
      </w:pPr>
      <w:r>
        <w:rPr>
          <w:rFonts w:ascii="Calibri" w:cs="Calibri" w:eastAsia="Calibri" w:hAnsi="Calibri"/>
          <w:color w:val="222222"/>
          <w:sz w:val="21"/>
          <w:szCs w:val="21"/>
        </w:rPr>
        <w:t xml:space="preserve">I rilievi sono ordinati per gravità. «Bloccante» significa che il profilo va risolto prima di impegnare risorse su qualunque offerta in forma di rete; «alta» che va risolto prima della firma del contratto; «media» che incide sull’architettura dell’aggregazione o sul punteggio.</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620"/>
        <w:gridCol w:w="1080"/>
        <w:gridCol w:w="4300"/>
        <w:gridCol w:w="3638"/>
      </w:tblGrid>
      <w:tr>
        <w:trPr>
          <w:tblHeader/>
        </w:trPr>
        <w:tc>
          <w:tcPr>
            <w:tcW w:type="dxa" w:w="62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ID</w:t>
            </w:r>
          </w:p>
        </w:tc>
        <w:tc>
          <w:tcPr>
            <w:tcW w:type="dxa" w:w="108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Gravità</w:t>
            </w:r>
          </w:p>
        </w:tc>
        <w:tc>
          <w:tcPr>
            <w:tcW w:type="dxa" w:w="43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Rilievo</w:t>
            </w:r>
          </w:p>
        </w:tc>
        <w:tc>
          <w:tcPr>
            <w:tcW w:type="dxa" w:w="36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Azione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B03030"/>
                <w:sz w:val="18"/>
                <w:szCs w:val="18"/>
              </w:rPr>
              <w:t xml:space="preserve">BLOCCANTE</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contratto è una bozza: mancano data di sottoscrizione, autentiche ed estremi di iscrizione. Senza iscrizione nella Sezione Ordinaria del Registro delle Imprese di Benevento la Rete non ha soggettività giuridica e non esiste come operatore economico.</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Perfezionare l’atto nella forma di legge — atto pubblico, scrittura privata autenticata o atto firmato digitalmente ex art. 25 CAD — e procedere all’iscrizione. È il presupposto di tutto il resto.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G2</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B03030"/>
                <w:sz w:val="18"/>
                <w:szCs w:val="18"/>
              </w:rPr>
              <w:t xml:space="preserve">BLOCCANTE</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L’art. 66 del Codice non menziona le aggregazioni di retisti fra i soggetti ammessi ai SIA. Rischio di esclusione per difetto di legittimazione soggettiva, non sanabile con soccorso istruttorio.</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Su ogni gara: istanza di chiarimento preventiva alla stazione appaltante; nessuna offerta in forma di rete senza risposta scritta favorevole; piano B in RTP costituendo sempre pronto.</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G3</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B03030"/>
                <w:sz w:val="18"/>
                <w:szCs w:val="18"/>
              </w:rPr>
              <w:t xml:space="preserve">BLOCCANTE</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cumulo alla rinfusa è escluso per le reti (Cons. Stato, Sez. V, n. 8289/2025). Ogni retista deve possedere i requisiti individualmente; l’organo comune-mandatario deve possederli in misura superiore a ciascun mandante.</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Ricognizione immediata del fatturato SIA dei migliori tre esercizi dell’ultimo quinquennio per ciascun retista, e verifica di chi può reggere il ruolo di mandataria. Da questo dipende l’architettura della Rete.</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G4</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L’Organo Comune è collegiale (nove persone fisiche), ma i disciplinari richiedono che a rivestirne la funzione sia un «operatore economico» che assume il ruolo di mandatario e sottoscrive da solo la domanda. Un collegio di persone fisiche non è un operatore economico.</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Individuare nel contratto quale impresa retista eserciti la funzione di organo comune ai fini della partecipazione alle gare, coerentemente con G3. È un vizio strutturale, non formale.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G5</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Presidente e primo Vice Presidente (Vincenzo Salerno, Ines Vona) non compaiono fra i nove componenti dell’Organo Comune, mentre l’art. 17 vuole il Presidente nominato «al suo interno». Chi firma digitalmente l’offerta rischia un difetto di legittimazione.</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Allineare artt. 16 e 17 prima della firma: il Presidente deve essere componente dell’Organo Comune e la sua legittimazione deve risultare dal contratto e dai verbali.</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G6</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Non tutti i retisti sono soggetti ex art. 66. Bear Service (ditta individuale, area energia, qualità, sicurezza, compliance 231) ed Europrogettazione Italia (europrogettazione e finanza agevolata) non rientrano, allo stato, fra i prestatori di SIA.</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Distinguere nel programma di rete i retisti «abilitati SIA» dagli altri. Nelle gare SIA l’aggregazione va composta con i soli soggetti ex art. 66; gli altri possono contribuire come struttura di supporto, non come componenti dell’aggregazione.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G7</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Perla Engineering è società di diritto polacco: va ricondotta alla lett. d) dell’art. 66 (prestatori stabiliti in altri Stati membri). Ammissibile, ma con onere documentale specifico e senza iscrizione camerale italiana.</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Predisporre in anticipo la documentazione di abilitazione secondo la legge polacca e la traduzione asseverata. Valutare con attenzione l’ipotesi che sia questo soggetto a rivestire il ruolo di mandataria: il carico probatorio sarebbe massimo.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G8</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 stessa persona fisica (Iannella Barbato) rappresenta tre dei nove retisti — C.E.A., Europrogettazione Italia e I&amp;B Studio — e il contratto non disciplina come voti chi occupa più seggi. In gara questo espone al rischio di «unico centro decisionale» e al divieto di partecipazione plurima.</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Disciplinare il voto nell’Organo Comune. Mappare le partecipazioni incrociate prima di decidere su quanti lotti presentare offerta: il divieto colpisce il professionista singolo che sia anche socio, amministratore o dipendente di una società che ha presentato offerta su un lotto diverso.</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G9</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Fondo patrimoniale comune fissato in 1.000 € con quota individuale indicata anch’essa in «1,000,00 €»: con nove fondatrici i due numeri non tornano e il separatore è errato. Il fondo è l’unica garanzia dei terzi per le obbligazioni dell’organo comune (artt. 2614-2615 c.c.).</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Correggere e dimensionare il fondo in modo credibile per committenti e istituti di credito. È un dato che le stazioni appaltanti e i garanti guardano.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G10</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 disciplinari richiedono l’iscrizione al Registro delle Imprese «per attività coerenti con quelle oggetto della procedura» anche in capo all’ente-rete, in quanto dotato di soggettività giuridica. L’oggetto dell’art. 5 mescola SIA, lavori, General Contractor, gestione rifiuti, commercio, logistica e formazione.</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Verificare che oggetto e codice ATECO della rete-soggetto siano coerenti con i servizi di architettura e ingegneria. Un oggetto troppo ampio e disomogeneo è un’arma in mano a chi voglia contestare la coerenza.</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G11</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Ciascuna società di ingegneria retista deve disporre di almeno un direttore tecnico con laurea e abilitazione da almeno dieci anni (art. 36, All. II.12). È requisito del singolo soggetto, non dell’aggregazione.</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Verifica società per società, con raccolta di certificati di iscrizione all’albo e attestazione dell’anzianità. Da fare una volta e mantenere aggiornata.</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G12</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Bando tipo ANAC 2/2026 istituzionalizza il BIM come processo codificato. La Rete dichiara competenze BIM ma non risulta agli atti una certificazione formale di BIM Manager.</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Certificare almeno un BIM Manager e dotarsi di ambiente di condivisione dati e capitolato informativo tipo. Senza questo, i lotti sopra soglia sono preclusi in fatto.</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G13</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 riduzione del 30% della garanzia provvisoria per certificazione ISO 9001 spetta solo se tutte le imprese retiste partecipanti la possiedono. In una compagine che include ditte individuali è improbabile.</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Censire le certificazioni. Valutare se comporre l’aggregazione di gara con i soli retisti certificati, quando la riduzione è economicamente rilevante.</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G14</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Obbligo del giovane professionista (art. 39, All. II.12): previsto per i raggruppamenti temporanei, applicabile alle reti «in quanto compatibile».</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Individuare stabilmente almeno un giovane professionista abilitato da meno di cinque anni. I suoi requisiti non concorrono ai requisiti di partecipazione: il costo è nullo, il rischio di ometterlo è l’esclusione.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G15</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BASSA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Rinvii e denominazioni incoerenti: l’art. 37 rinvia all’art. 22 (marchio) per l’adesione di nuove imprese, disciplinata dall’art. 23; «Europrogettazione srl» ed «Europrogettazione Italia srl» si alternano; la citazione dell’art. 65, co. 2, lett. g) all’art. 19 è impropria, trattandosi di norma sui soggetti e non sulla firma.</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Correzioni redazionali da apportare prima della firma, insieme al resto.</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V — Roadmap</w:t>
      </w:r>
    </w:p>
    <w:p>
      <w:pPr>
        <w:pStyle w:val="Heading2"/>
        <w:spacing w:after="130" w:before="300"/>
      </w:pPr>
      <w:r>
        <w:rPr>
          <w:rFonts w:ascii="Calibri" w:cs="Calibri" w:eastAsia="Calibri" w:hAnsi="Calibri"/>
          <w:b/>
          <w:bCs/>
          <w:color w:val="1A3A5C"/>
          <w:sz w:val="24"/>
          <w:szCs w:val="24"/>
        </w:rPr>
        <w:t xml:space="preserve">5.1  Azioni immediate — entro 30 giorni</w:t>
      </w:r>
    </w:p>
    <w:p>
      <w:pPr>
        <w:pStyle w:val="ListParagraph"/>
        <w:numPr>
          <w:ilvl w:val="0"/>
          <w:numId w:val="3"/>
        </w:numPr>
        <w:spacing w:after="110" w:line="276"/>
        <w:jc w:val="both"/>
      </w:pPr>
      <w:r>
        <w:rPr>
          <w:rFonts w:ascii="Calibri" w:cs="Calibri" w:eastAsia="Calibri" w:hAnsi="Calibri"/>
          <w:b/>
          <w:bCs/>
          <w:color w:val="222222"/>
          <w:sz w:val="21"/>
          <w:szCs w:val="21"/>
        </w:rPr>
        <w:t xml:space="preserve">Ricognizione del fatturato SIA. </w:t>
      </w:r>
      <w:r>
        <w:rPr>
          <w:rFonts w:ascii="Calibri" w:cs="Calibri" w:eastAsia="Calibri" w:hAnsi="Calibri"/>
          <w:color w:val="222222"/>
          <w:sz w:val="21"/>
          <w:szCs w:val="21"/>
        </w:rPr>
        <w:t xml:space="preserve">Ciascun retista comunica il fatturato per servizi di ingegneria e architettura dei migliori tre esercizi dell’ultimo quinquennio, con il documento di comprova (bilancio con nota integrativa, Modello Unico o dichiarazione IVA). È il dato da cui dipende chi può fare la mandataria e a quali gare possiamo realisticamente guardare. Senza questo numero ogni altra discussione è teorica.</w:t>
      </w:r>
    </w:p>
    <w:p>
      <w:pPr>
        <w:pStyle w:val="ListParagraph"/>
        <w:numPr>
          <w:ilvl w:val="0"/>
          <w:numId w:val="3"/>
        </w:numPr>
        <w:spacing w:after="110" w:line="276"/>
        <w:jc w:val="both"/>
      </w:pPr>
      <w:r>
        <w:rPr>
          <w:rFonts w:ascii="Calibri" w:cs="Calibri" w:eastAsia="Calibri" w:hAnsi="Calibri"/>
          <w:b/>
          <w:bCs/>
          <w:color w:val="222222"/>
          <w:sz w:val="21"/>
          <w:szCs w:val="21"/>
        </w:rPr>
        <w:t xml:space="preserve">Designazione dell’operatore economico che riveste la funzione di organo comune. </w:t>
      </w:r>
      <w:r>
        <w:rPr>
          <w:rFonts w:ascii="Calibri" w:cs="Calibri" w:eastAsia="Calibri" w:hAnsi="Calibri"/>
          <w:color w:val="222222"/>
          <w:sz w:val="21"/>
          <w:szCs w:val="21"/>
        </w:rPr>
        <w:t xml:space="preserve">Deve essere il retista con il fatturato SIA più elevato, o quantomeno superiore a quello di ciascun altro, e deve disporre in organico dei professionisti con l’anzianità richiesta per i ruoli di responsabile dell’integrazione e di responsabile dell’accordo quadro, che i disciplinari riservano a soggetto interno alla capofila.</w:t>
      </w:r>
    </w:p>
    <w:p>
      <w:pPr>
        <w:pStyle w:val="ListParagraph"/>
        <w:numPr>
          <w:ilvl w:val="0"/>
          <w:numId w:val="3"/>
        </w:numPr>
        <w:spacing w:after="110" w:line="276"/>
        <w:jc w:val="both"/>
      </w:pPr>
      <w:r>
        <w:rPr>
          <w:rFonts w:ascii="Calibri" w:cs="Calibri" w:eastAsia="Calibri" w:hAnsi="Calibri"/>
          <w:b/>
          <w:bCs/>
          <w:color w:val="222222"/>
          <w:sz w:val="21"/>
          <w:szCs w:val="21"/>
        </w:rPr>
        <w:t xml:space="preserve">Correzione del testo e perfezionamento dell’atto. </w:t>
      </w:r>
      <w:r>
        <w:rPr>
          <w:rFonts w:ascii="Calibri" w:cs="Calibri" w:eastAsia="Calibri" w:hAnsi="Calibri"/>
          <w:color w:val="222222"/>
          <w:sz w:val="21"/>
          <w:szCs w:val="21"/>
        </w:rPr>
        <w:t xml:space="preserve">Portare al notaio la bozza con le correzioni dei punti G4, G5, G9, G10 e G15, distinguendo nel programma di rete i retisti abilitati ai SIA (G6). Fissare la data di sottoscrizione e procedere all’iscrizione al Registro delle Imprese di Benevento.</w:t>
      </w:r>
    </w:p>
    <w:p>
      <w:pPr>
        <w:pStyle w:val="ListParagraph"/>
        <w:numPr>
          <w:ilvl w:val="0"/>
          <w:numId w:val="3"/>
        </w:numPr>
        <w:spacing w:after="110" w:line="276"/>
        <w:jc w:val="both"/>
      </w:pPr>
      <w:r>
        <w:rPr>
          <w:rFonts w:ascii="Calibri" w:cs="Calibri" w:eastAsia="Calibri" w:hAnsi="Calibri"/>
          <w:b/>
          <w:bCs/>
          <w:color w:val="222222"/>
          <w:sz w:val="21"/>
          <w:szCs w:val="21"/>
        </w:rPr>
        <w:t xml:space="preserve">Raccolta documentale di base. </w:t>
      </w:r>
      <w:r>
        <w:rPr>
          <w:rFonts w:ascii="Calibri" w:cs="Calibri" w:eastAsia="Calibri" w:hAnsi="Calibri"/>
          <w:color w:val="222222"/>
          <w:sz w:val="21"/>
          <w:szCs w:val="21"/>
        </w:rPr>
        <w:t xml:space="preserve">Per ciascun retista: visura camerale, iscrizioni agli albi, direttore tecnico con attestazione dell’anzianità decennale, certificazioni ISO in corso di validità, polizze, regolarità contributiva. Per Perla Engineering, documentazione di abilitazione secondo la legge polacca con traduzione asseverata.</w:t>
      </w:r>
    </w:p>
    <w:p>
      <w:pPr>
        <w:pStyle w:val="ListParagraph"/>
        <w:numPr>
          <w:ilvl w:val="0"/>
          <w:numId w:val="3"/>
        </w:numPr>
        <w:spacing w:after="110" w:line="276"/>
        <w:jc w:val="both"/>
      </w:pPr>
      <w:r>
        <w:rPr>
          <w:rFonts w:ascii="Calibri" w:cs="Calibri" w:eastAsia="Calibri" w:hAnsi="Calibri"/>
          <w:b/>
          <w:bCs/>
          <w:color w:val="222222"/>
          <w:sz w:val="21"/>
          <w:szCs w:val="21"/>
        </w:rPr>
        <w:t xml:space="preserve">Decisione sulle tre finestre aperte. </w:t>
      </w:r>
      <w:r>
        <w:rPr>
          <w:rFonts w:ascii="Calibri" w:cs="Calibri" w:eastAsia="Calibri" w:hAnsi="Calibri"/>
          <w:color w:val="222222"/>
          <w:sz w:val="21"/>
          <w:szCs w:val="21"/>
        </w:rPr>
        <w:t xml:space="preserve">Sarno (25 settembre), Demanio (2 ottobre), Consip (6 ottobre). Se si decide di concorrere, la forma percorribile nei tempi è il raggruppamento temporaneo di professionisti fra i retisti abilitati. Va deciso in riunione, perché i tempi non consentono un secondo giro.</w:t>
      </w:r>
    </w:p>
    <w:p>
      <w:pPr>
        <w:pStyle w:val="Heading2"/>
        <w:spacing w:after="130" w:before="300"/>
      </w:pPr>
      <w:r>
        <w:rPr>
          <w:rFonts w:ascii="Calibri" w:cs="Calibri" w:eastAsia="Calibri" w:hAnsi="Calibri"/>
          <w:b/>
          <w:bCs/>
          <w:color w:val="1A3A5C"/>
          <w:sz w:val="24"/>
          <w:szCs w:val="24"/>
        </w:rPr>
        <w:t xml:space="preserve">5.2  Azioni a 90 giorni</w:t>
      </w:r>
    </w:p>
    <w:p>
      <w:pPr>
        <w:pStyle w:val="ListParagraph"/>
        <w:numPr>
          <w:ilvl w:val="0"/>
          <w:numId w:val="2"/>
        </w:numPr>
        <w:spacing w:after="80" w:line="276"/>
        <w:jc w:val="both"/>
      </w:pPr>
      <w:r>
        <w:rPr>
          <w:rFonts w:ascii="Calibri" w:cs="Calibri" w:eastAsia="Calibri" w:hAnsi="Calibri"/>
          <w:color w:val="222222"/>
          <w:sz w:val="21"/>
          <w:szCs w:val="21"/>
        </w:rPr>
        <w:t xml:space="preserve">Certificazione di almeno un BIM Manager e adozione di un ambiente di condivisione dati e di un capitolato informativo tipo, riutilizzabile da gara a gara.</w:t>
      </w:r>
    </w:p>
    <w:p>
      <w:pPr>
        <w:pStyle w:val="ListParagraph"/>
        <w:numPr>
          <w:ilvl w:val="0"/>
          <w:numId w:val="2"/>
        </w:numPr>
        <w:spacing w:after="80" w:line="276"/>
        <w:jc w:val="both"/>
      </w:pPr>
      <w:r>
        <w:rPr>
          <w:rFonts w:ascii="Calibri" w:cs="Calibri" w:eastAsia="Calibri" w:hAnsi="Calibri"/>
          <w:color w:val="222222"/>
          <w:sz w:val="21"/>
          <w:szCs w:val="21"/>
        </w:rPr>
        <w:t xml:space="preserve">Avvio delle procedure di qualificazione presso i sistemi dei settori speciali, a partire da RFI e Italferr, per i retisti interessati. È un percorso lungo, va iniziato subito e in parallelo.</w:t>
      </w:r>
    </w:p>
    <w:p>
      <w:pPr>
        <w:pStyle w:val="ListParagraph"/>
        <w:numPr>
          <w:ilvl w:val="0"/>
          <w:numId w:val="2"/>
        </w:numPr>
        <w:spacing w:after="80" w:line="276"/>
        <w:jc w:val="both"/>
      </w:pPr>
      <w:r>
        <w:rPr>
          <w:rFonts w:ascii="Calibri" w:cs="Calibri" w:eastAsia="Calibri" w:hAnsi="Calibri"/>
          <w:color w:val="222222"/>
          <w:sz w:val="21"/>
          <w:szCs w:val="21"/>
        </w:rPr>
        <w:t xml:space="preserve">Costruzione della checklist documentale di Busta A per l’aggregazione di retisti e per l’RTP, sulla falsariga del Bando tipo ANAC 2/2026, così da non ricostruirla a ogni gara.</w:t>
      </w:r>
    </w:p>
    <w:p>
      <w:pPr>
        <w:pStyle w:val="ListParagraph"/>
        <w:numPr>
          <w:ilvl w:val="0"/>
          <w:numId w:val="2"/>
        </w:numPr>
        <w:spacing w:after="80" w:line="276"/>
        <w:jc w:val="both"/>
      </w:pPr>
      <w:r>
        <w:rPr>
          <w:rFonts w:ascii="Calibri" w:cs="Calibri" w:eastAsia="Calibri" w:hAnsi="Calibri"/>
          <w:color w:val="222222"/>
          <w:sz w:val="21"/>
          <w:szCs w:val="21"/>
        </w:rPr>
        <w:t xml:space="preserve">Individuazione stabile del giovane professionista e mappatura delle partecipazioni incrociate fra professionisti e società retiste, per prevenire i divieti di partecipazione plurima.</w:t>
      </w:r>
    </w:p>
    <w:p>
      <w:pPr>
        <w:pStyle w:val="ListParagraph"/>
        <w:numPr>
          <w:ilvl w:val="0"/>
          <w:numId w:val="2"/>
        </w:numPr>
        <w:spacing w:after="80" w:line="276"/>
        <w:jc w:val="both"/>
      </w:pPr>
      <w:r>
        <w:rPr>
          <w:rFonts w:ascii="Calibri" w:cs="Calibri" w:eastAsia="Calibri" w:hAnsi="Calibri"/>
          <w:color w:val="222222"/>
          <w:sz w:val="21"/>
          <w:szCs w:val="21"/>
        </w:rPr>
        <w:t xml:space="preserve">Mappatura delle coperture che la Rete non possiede: qualificazioni SOA per le componenti di indagini e rilievi, titoli di laboratorio (autorizzazione ministeriale ex art. 59 D.P.R. 380/2001, accreditamento ACCREDIA ISO/IEC 17025, qualificazione amianto), archeologi iscritti all’Elenco Nazionale. Per ciascuna: copertura interna, avvalimento o subappalto necessario.</w:t>
      </w:r>
    </w:p>
    <w:p>
      <w:pPr>
        <w:pStyle w:val="ListParagraph"/>
        <w:numPr>
          <w:ilvl w:val="0"/>
          <w:numId w:val="2"/>
        </w:numPr>
        <w:spacing w:after="80" w:line="276"/>
        <w:jc w:val="both"/>
      </w:pPr>
      <w:r>
        <w:rPr>
          <w:rFonts w:ascii="Calibri" w:cs="Calibri" w:eastAsia="Calibri" w:hAnsi="Calibri"/>
          <w:color w:val="222222"/>
          <w:sz w:val="21"/>
          <w:szCs w:val="21"/>
        </w:rPr>
        <w:t xml:space="preserve">Istruttoria sulla forma giuridica di lungo periodo: se e a quali condizioni valga la pena evolvere verso un consorzio stabile di società di ingegneria in forma mista, unica figura che godrebbe del cumulo alla rinfusa.</w:t>
      </w:r>
    </w:p>
    <w:p>
      <w:pPr>
        <w:pStyle w:val="Heading2"/>
        <w:spacing w:after="130" w:before="300"/>
      </w:pPr>
      <w:r>
        <w:rPr>
          <w:rFonts w:ascii="Calibri" w:cs="Calibri" w:eastAsia="Calibri" w:hAnsi="Calibri"/>
          <w:b/>
          <w:bCs/>
          <w:color w:val="1A3A5C"/>
          <w:sz w:val="24"/>
          <w:szCs w:val="24"/>
        </w:rPr>
        <w:t xml:space="preserve">5.3  Le decisioni da assumere in questa riunione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560"/>
        <w:gridCol w:w="9078"/>
      </w:tblGrid>
      <w:tr>
        <w:trPr>
          <w:tblHeader/>
        </w:trPr>
        <w:tc>
          <w:tcPr>
            <w:tcW w:type="dxa" w:w="56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w:t>
            </w:r>
          </w:p>
        </w:tc>
        <w:tc>
          <w:tcPr>
            <w:tcW w:type="dxa" w:w="907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Decisione</w:t>
            </w:r>
          </w:p>
        </w:tc>
      </w:tr>
      <w:tr>
        <w:tc>
          <w:tcPr>
            <w:tcW w:type="dxa" w:w="56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1</w:t>
            </w:r>
          </w:p>
        </w:tc>
        <w:tc>
          <w:tcPr>
            <w:tcW w:type="dxa" w:w="907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Se perfezionare il contratto di rete nella versione R03 corretta, dando mandato al notaio e fissando la data di sottoscrizione.</w:t>
            </w:r>
          </w:p>
        </w:tc>
      </w:tr>
      <w:tr>
        <w:tc>
          <w:tcPr>
            <w:tcW w:type="dxa" w:w="56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2</w:t>
            </w:r>
          </w:p>
        </w:tc>
        <w:tc>
          <w:tcPr>
            <w:tcW w:type="dxa" w:w="907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Chi, fra i nove retisti, riveste la funzione di organo comune ai fini della partecipazione alle gare — subordinatamente all’esito della ricognizione sul fatturato SIA.</w:t>
            </w:r>
          </w:p>
        </w:tc>
      </w:tr>
      <w:tr>
        <w:tc>
          <w:tcPr>
            <w:tcW w:type="dxa" w:w="56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w:t>
            </w:r>
          </w:p>
        </w:tc>
        <w:tc>
          <w:tcPr>
            <w:tcW w:type="dxa" w:w="907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Se concorrere su una delle tre finestre aperte e, in caso affermativo, quale, con quale compagine e con quale forma (raggruppamento temporaneo, allo stato l’unica praticabile nei tempi).</w:t>
            </w:r>
          </w:p>
        </w:tc>
      </w:tr>
      <w:tr>
        <w:tc>
          <w:tcPr>
            <w:tcW w:type="dxa" w:w="56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4</w:t>
            </w:r>
          </w:p>
        </w:tc>
        <w:tc>
          <w:tcPr>
            <w:tcW w:type="dxa" w:w="907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Se avviare l’istruttoria sull’evoluzione verso il consorzio stabile, con incarico a un gruppo ristretto di riferire entro novanta giorni.</w:t>
            </w:r>
          </w:p>
        </w:tc>
      </w:tr>
      <w:tr>
        <w:tc>
          <w:tcPr>
            <w:tcW w:type="dxa" w:w="56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5</w:t>
            </w:r>
          </w:p>
        </w:tc>
        <w:tc>
          <w:tcPr>
            <w:tcW w:type="dxa" w:w="907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Se dimensionare diversamente il fondo patrimoniale comune, e in quale misura.</w:t>
            </w:r>
          </w:p>
        </w:tc>
      </w:tr>
    </w:tbl>
    <w:p>
      <w:pPr>
        <w:spacing w:after="22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Una considerazione finale</w:t>
            </w:r>
          </w:p>
          <w:p>
            <w:pPr>
              <w:spacing w:after="60" w:line="264"/>
              <w:jc w:val="both"/>
            </w:pPr>
            <w:r>
              <w:rPr>
                <w:rFonts w:ascii="Calibri" w:cs="Calibri" w:eastAsia="Calibri" w:hAnsi="Calibri"/>
                <w:color w:val="2A3340"/>
                <w:sz w:val="19"/>
                <w:szCs w:val="19"/>
              </w:rPr>
              <w:t xml:space="preserve">Il quadro che emerge non è sfavorevole: è semplicemente diverso da quello che ci si aspetta di solito quando si costituisce una rete per andare in gara. La rete non moltiplica i requisiti, e su questo il Consiglio di Stato è stato netto. Ma il mercato si sta spostando su accordi quadro pluriennali e multidisciplinari, dove conta la capacità di presidiare in modo continuativo e di coprire competenze che nessuno ha per intero: progettazione, ambiente, laboratorio, strutture, BIM, beni culturali, sicurezza.</w:t>
            </w:r>
          </w:p>
          <w:p>
            <w:pPr>
              <w:spacing w:after="60" w:line="264"/>
              <w:jc w:val="both"/>
            </w:pPr>
            <w:r>
              <w:rPr>
                <w:rFonts w:ascii="Calibri" w:cs="Calibri" w:eastAsia="Calibri" w:hAnsi="Calibri"/>
                <w:color w:val="2A3340"/>
                <w:sz w:val="19"/>
                <w:szCs w:val="19"/>
              </w:rPr>
              <w:t xml:space="preserve">È esattamente la nostra composizione. Il valore di Masterplan sta lì, e sta nel non dover ricostruire da zero un’aggregazione a ogni bando. La forma con cui ci si presenta in gara è una scelta tecnica da fare volta per volta; la decisione strategica è se vogliamo essere, in modo stabile e credibile, un operatore in grado di reggere quei contenitori.</w:t>
            </w:r>
          </w:p>
        </w:tc>
      </w:tr>
    </w:tbl>
    <w:sectPr>
      <w:headerReference w:type="default" r:id="rId7"/>
      <w:footerReference w:type="default" r:id="rId8"/>
      <w:pgSz w:w="11905" w:h="16837"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5"/>
        <w:szCs w:val="15"/>
      </w:rPr>
      <w:t xml:space="preserve">Documento interno di lavoro — non è un parere legale          </w:t>
    </w:r>
    <w:r>
      <w:rPr>
        <w:rFonts w:ascii="Calibri" w:cs="Calibri" w:eastAsia="Calibri" w:hAnsi="Calibri"/>
        <w:b/>
        <w:bCs/>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C" w:sz="4" w:space="4"/>
      </w:pBdr>
      <w:spacing w:after="60"/>
      <w:jc w:val="right"/>
    </w:pPr>
    <w:r>
      <w:rPr>
        <w:rFonts w:ascii="Calibri" w:cs="Calibri" w:eastAsia="Calibri" w:hAnsi="Calibri"/>
        <w:color w:val="5A6672"/>
        <w:sz w:val="16"/>
        <w:szCs w:val="16"/>
      </w:rPr>
      <w:t xml:space="preserve">Rete Masterplan · Requisiti di partecipazione alle gare SIA · 15 settembre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3A5C"/>
      <w:sz w:val="30"/>
      <w:szCs w:val="30"/>
    </w:rPr>
  </w:style>
  <w:style w:type="paragraph" w:styleId="Heading2">
    <w:name w:val="Heading 2"/>
    <w:basedOn w:val="Normal"/>
    <w:next w:val="Normal"/>
    <w:qFormat/>
    <w:rPr>
      <w:rFonts w:ascii="Calibri" w:cs="Calibri" w:eastAsia="Calibri" w:hAnsi="Calibri"/>
      <w:b/>
      <w:bCs/>
      <w:color w:val="1A3A5C"/>
      <w:sz w:val="24"/>
      <w:szCs w:val="24"/>
    </w:rPr>
  </w:style>
  <w:style w:type="paragraph" w:styleId="Heading3">
    <w:name w:val="Heading 3"/>
    <w:basedOn w:val="Normal"/>
    <w:next w:val="Normal"/>
    <w:qFormat/>
    <w:rPr>
      <w:rFonts w:ascii="Calibri" w:cs="Calibri" w:eastAsia="Calibri" w:hAnsi="Calibri"/>
      <w:b/>
      <w:bCs/>
      <w:color w:val="8A6D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Requisiti di partecipazione delle reti di società di ingegneria alle gare pubbliche italiane</dc:title>
  <dc:creator>Rete Masterplan — Engineering &amp; Infrastructure Network</dc:creator>
  <dc:description>Relazione per la riunione della Rete Masterplan — 15 settembre 2026</dc:description>
  <cp:lastModifiedBy>Un-named</cp:lastModifiedBy>
  <cp:revision>1</cp:revision>
  <dcterms:created xsi:type="dcterms:W3CDTF">2026-09-15T05:21:17.733Z</dcterms:created>
  <dcterms:modified xsi:type="dcterms:W3CDTF">2026-09-15T05:21:17.733Z</dcterms:modified>
</cp:coreProperties>
</file>

<file path=docProps/custom.xml><?xml version="1.0" encoding="utf-8"?>
<Properties xmlns="http://schemas.openxmlformats.org/officeDocument/2006/custom-properties" xmlns:vt="http://schemas.openxmlformats.org/officeDocument/2006/docPropsVTypes"/>
</file>