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76"/>
        <w:jc w:val="center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RICHIESTA DI INTEGRAZIONE DOCUMENTALE</w:t>
      </w:r>
    </w:p>
    <w:p>
      <w:pPr>
        <w:spacing w:after="40" w:before="0" w:line="276"/>
        <w:jc w:val="center"/>
      </w:pPr>
      <w:r>
        <w:rPr>
          <w:rFonts w:ascii="Calibri" w:cs="Calibri" w:eastAsia="Calibri" w:hAnsi="Calibri"/>
          <w:color w:val="5C5C5C"/>
          <w:sz w:val="21"/>
          <w:szCs w:val="21"/>
        </w:rPr>
        <w:t xml:space="preserve">Documenti e chiarimenti necessari al consolidamento del fascicolo</w:t>
      </w:r>
    </w:p>
    <w:p>
      <w:pPr>
        <w:spacing w:after="320" w:before="0" w:line="276"/>
        <w:jc w:val="center"/>
      </w:pPr>
      <w:r>
        <w:rPr>
          <w:rFonts w:ascii="Calibri" w:cs="Calibri" w:eastAsia="Calibri" w:hAnsi="Calibri"/>
          <w:i/>
          <w:iCs/>
          <w:color w:val="5C5C5C"/>
          <w:sz w:val="21"/>
          <w:szCs w:val="21"/>
        </w:rPr>
        <w:t xml:space="preserve">Procedimento di risoluzione contrattuale ex art. 108, co. 3, D.Lgs. 50/2016</w:t>
      </w:r>
    </w:p>
    <w:tbl>
      <w:tblPr>
        <w:tblW w:type="dxa" w:w="9638"/>
        <w:tblBorders>
          <w:top w:val="single" w:color="1F3864" w:sz="4"/>
          <w:left w:val="single" w:color="1F3864" w:sz="18"/>
          <w:bottom w:val="single" w:color="1F3864" w:sz="4"/>
          <w:right w:val="single" w:color="1F3864" w:sz="4"/>
          <w:insideH w:val="none" w:color="auto" w:sz="0"/>
          <w:insideV w:val="none" w:color="auto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FF4E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DESTINATARIO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[ da completare — Direzione Lavori 3ing S.r.l., Ing. Jacopo Pellegrino ]</w:t>
            </w:r>
          </w:p>
          <w:p>
            <w:pPr>
              <w:spacing w:after="0" w:before="12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Per conoscenza: [ da completare ]</w:t>
            </w:r>
          </w:p>
        </w:tc>
      </w:tr>
    </w:tbl>
    <w:p>
      <w:pPr>
        <w:spacing w:after="240" w:before="0" w:line="27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/>
      </w:r>
    </w:p>
    <w:tbl>
      <w:tblPr>
        <w:tblW w:type="dxa" w:w="9638"/>
        <w:tblBorders>
          <w:top w:val="single" w:color="B8B8B8" w:sz="4"/>
          <w:left w:val="single" w:color="B8B8B8" w:sz="4"/>
          <w:bottom w:val="single" w:color="B8B8B8" w:sz="4"/>
          <w:right w:val="single" w:color="B8B8B8" w:sz="4"/>
          <w:insideH w:val="single" w:color="B8B8B8" w:sz="2"/>
          <w:insideV w:val="single" w:color="B8B8B8" w:sz="2"/>
        </w:tblBorders>
      </w:tblPr>
      <w:tblGrid>
        <w:gridCol w:w="2900"/>
        <w:gridCol w:w="6738"/>
      </w:tblGrid>
      <w:tr>
        <w:tc>
          <w:tcPr>
            <w:tcW w:type="dxa" w:w="2900"/>
            <w:shd w:fill="EDF0F6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Oggetto lavori</w:t>
            </w:r>
          </w:p>
        </w:tc>
        <w:tc>
          <w:tcPr>
            <w:tcW w:type="dxa" w:w="673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Lavori di miglioramento sismico ed energetico, logistico-funzionale ed architettonico della sede del Comando Provinciale VV.F. di Pisa, Via Matteotti n. 1</w:t>
            </w:r>
          </w:p>
        </w:tc>
      </w:tr>
      <w:tr>
        <w:tc>
          <w:tcPr>
            <w:tcW w:type="dxa" w:w="29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Contratto</w:t>
            </w:r>
          </w:p>
        </w:tc>
        <w:tc>
          <w:tcPr>
            <w:tcW w:type="dxa" w:w="6738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Rep. n. 7/23 del 16/05/2023</w:t>
            </w:r>
          </w:p>
        </w:tc>
      </w:tr>
      <w:tr>
        <w:tc>
          <w:tcPr>
            <w:tcW w:type="dxa" w:w="2900"/>
            <w:shd w:fill="EDF0F6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Perizia</w:t>
            </w:r>
          </w:p>
        </w:tc>
        <w:tc>
          <w:tcPr>
            <w:tcW w:type="dxa" w:w="673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n. 1071</w:t>
            </w:r>
          </w:p>
        </w:tc>
      </w:tr>
      <w:tr>
        <w:tc>
          <w:tcPr>
            <w:tcW w:type="dxa" w:w="29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CUP / CIG</w:t>
            </w:r>
          </w:p>
        </w:tc>
        <w:tc>
          <w:tcPr>
            <w:tcW w:type="dxa" w:w="6738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D56J22000140001  /  9616784535</w:t>
            </w:r>
          </w:p>
        </w:tc>
      </w:tr>
      <w:tr>
        <w:tc>
          <w:tcPr>
            <w:tcW w:type="dxa" w:w="2900"/>
            <w:shd w:fill="EDF0F6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Impresa appaltatrice</w:t>
            </w:r>
          </w:p>
        </w:tc>
        <w:tc>
          <w:tcPr>
            <w:tcW w:type="dxa" w:w="673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SUPINO GROUP S.R.L. – Via G.B. Marino 7, Napoli – P.I. 06509991219</w:t>
            </w:r>
          </w:p>
        </w:tc>
      </w:tr>
      <w:tr>
        <w:tc>
          <w:tcPr>
            <w:tcW w:type="dxa" w:w="29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Direzione Lavori</w:t>
            </w:r>
          </w:p>
        </w:tc>
        <w:tc>
          <w:tcPr>
            <w:tcW w:type="dxa" w:w="6738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3ing S.r.l. – Ing. Jacopo Pellegrino</w:t>
            </w:r>
          </w:p>
        </w:tc>
      </w:tr>
      <w:tr>
        <w:tc>
          <w:tcPr>
            <w:tcW w:type="dxa" w:w="2900"/>
            <w:shd w:fill="EDF0F6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RUP</w:t>
            </w:r>
          </w:p>
        </w:tc>
        <w:tc>
          <w:tcPr>
            <w:tcW w:type="dxa" w:w="673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Arch. Michele Mariani</w:t>
            </w:r>
          </w:p>
        </w:tc>
      </w:tr>
      <w:tr>
        <w:tc>
          <w:tcPr>
            <w:tcW w:type="dxa" w:w="29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Procedimento di riferimento</w:t>
            </w:r>
          </w:p>
        </w:tc>
        <w:tc>
          <w:tcPr>
            <w:tcW w:type="dxa" w:w="6738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Risoluzione contrattuale per grave inadempimento ex art. 108, co. 3, D.Lgs. 50/2016</w:t>
            </w:r>
          </w:p>
        </w:tc>
      </w:tr>
      <w:tr>
        <w:tc>
          <w:tcPr>
            <w:tcW w:type="dxa" w:w="2900"/>
            <w:shd w:fill="EDF0F6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Data della richiesta</w:t>
            </w:r>
          </w:p>
        </w:tc>
        <w:tc>
          <w:tcPr>
            <w:tcW w:type="dxa" w:w="673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09 settembre 2026</w:t>
            </w:r>
          </w:p>
        </w:tc>
      </w:tr>
      <w:tr>
        <w:tc>
          <w:tcPr>
            <w:tcW w:type="dxa" w:w="29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Ns. riferimento</w:t>
            </w:r>
          </w:p>
        </w:tc>
        <w:tc>
          <w:tcPr>
            <w:tcW w:type="dxa" w:w="6738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VER-VVF-PI/2026/RID-001</w:t>
            </w:r>
          </w:p>
        </w:tc>
      </w:tr>
    </w:tbl>
    <w:p>
      <w:pPr>
        <w:spacing w:after="300" w:before="0" w:line="27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/>
      </w:r>
    </w:p>
    <w:p>
      <w:pPr>
        <w:pStyle w:val="Heading1"/>
        <w:pBdr>
          <w:bottom w:val="single" w:color="1F3864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1.  PREMESSA E OGGETTO DELLA RICHIESTA</w:t>
      </w:r>
    </w:p>
    <w:p>
      <w:pPr>
        <w:spacing w:after="160" w:before="0" w:line="27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È stata condotta la verifica di coerenza formale, documentale e procedurale sui quattro atti della commessa, che si trovano però in due condizioni diverse e non vanno trattati allo stesso modo.</w:t>
      </w:r>
    </w:p>
    <w:tbl>
      <w:tblPr>
        <w:tblW w:type="dxa" w:w="9638"/>
        <w:tblBorders>
          <w:top w:val="single" w:color="B8B8B8" w:sz="4"/>
          <w:left w:val="single" w:color="B8B8B8" w:sz="4"/>
          <w:bottom w:val="single" w:color="B8B8B8" w:sz="4"/>
          <w:right w:val="single" w:color="B8B8B8" w:sz="4"/>
          <w:insideH w:val="single" w:color="B8B8B8" w:sz="2"/>
          <w:insideV w:val="single" w:color="B8B8B8" w:sz="2"/>
        </w:tblBorders>
      </w:tblPr>
      <w:tblGrid>
        <w:gridCol w:w="3500"/>
        <w:gridCol w:w="1500"/>
        <w:gridCol w:w="4638"/>
      </w:tblGrid>
      <w:tr>
        <w:trPr>
          <w:tblHeader/>
        </w:trPr>
        <w:tc>
          <w:tcPr>
            <w:tcW w:type="dxa" w:w="3500"/>
            <w:shd w:fill="1F386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Atto</w:t>
            </w:r>
          </w:p>
        </w:tc>
        <w:tc>
          <w:tcPr>
            <w:tcW w:type="dxa" w:w="1500"/>
            <w:shd w:fill="1F386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4638"/>
            <w:shd w:fill="1F386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Conseguenza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Ordine di Servizio n. 20</w:t>
            </w:r>
          </w:p>
        </w:tc>
        <w:tc>
          <w:tcPr>
            <w:tcW w:type="dxa" w:w="1500"/>
            <w:shd w:fill="FDECE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GIÀ INVIATO</w:t>
            </w:r>
          </w:p>
        </w:tc>
        <w:tc>
          <w:tcPr>
            <w:tcW w:type="dxa" w:w="463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Trasmesso il 09/09/2026. Non più correggibile: gli errori che contiene sono nelle mani della controparte e possono essere superati solo con un atto rettificativo, da adottare prima del sopralluogo del 18/09.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Lettera di contestazione dello stato dei lavori</w:t>
            </w:r>
          </w:p>
        </w:tc>
        <w:tc>
          <w:tcPr>
            <w:tcW w:type="dxa" w:w="1500"/>
            <w:shd w:fill="FDECE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GIÀ INVIATA</w:t>
            </w:r>
          </w:p>
        </w:tc>
        <w:tc>
          <w:tcPr>
            <w:tcW w:type="dxa" w:w="463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Trasmessa il 09/09/2026, con assegnazione di 48 ore per il riscontro (scadenza 11/09/2026). Vale quanto sopra.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Relazione di grave inadempimento e proposta di risoluzione</w:t>
            </w:r>
          </w:p>
        </w:tc>
        <w:tc>
          <w:tcPr>
            <w:tcW w:type="dxa" w:w="1500"/>
            <w:shd w:fill="E9F3E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NON INVIATA</w:t>
            </w:r>
          </w:p>
        </w:tc>
        <w:tc>
          <w:tcPr>
            <w:tcW w:type="dxa" w:w="463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Ancora modificabile. È l'atto su cui si regge l'intera procedura di risoluzione ed è quello su cui va concentrata la correzione.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Relazione Fotografica (69 fotografie)</w:t>
            </w:r>
          </w:p>
        </w:tc>
        <w:tc>
          <w:tcPr>
            <w:tcW w:type="dxa" w:w="1500"/>
            <w:shd w:fill="E9F3E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NON INVIATA</w:t>
            </w:r>
          </w:p>
        </w:tc>
        <w:tc>
          <w:tcPr>
            <w:tcW w:type="dxa" w:w="463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Allegato A della Relazione. Ancora modificabile.</w:t>
            </w:r>
          </w:p>
        </w:tc>
      </w:tr>
    </w:tbl>
    <w:p>
      <w:pPr>
        <w:spacing w:after="200" w:before="0" w:line="27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/>
      </w:r>
    </w:p>
    <w:p>
      <w:pPr>
        <w:spacing w:after="160" w:before="0" w:line="27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La verifica ha accertato che il fascicolo, nella sua composizione attuale, non è ancora completo rispetto ai requisiti di contenuto posti dall'art. 108, co. 3, D.Lgs. 50/2016 e presenta incongruenze interne che sarebbero utilizzabili dall'Impresa in sede di controdeduzioni, davanti al giudice e in sede ANAC.</w:t>
      </w:r>
    </w:p>
    <w:p>
      <w:pPr>
        <w:spacing w:after="200" w:before="0" w:line="27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Con la presente si richiedono pertanto i documenti e i chiarimenti elencati nelle sezioni che seguono. Ciascuna voce riporta la finalità e il rilievo cui si collega, così da rendere immediatamente valutabile che cosa comporti la mancata acquisizione.</w:t>
      </w:r>
    </w:p>
    <w:tbl>
      <w:tblPr>
        <w:tblW w:type="dxa" w:w="9638"/>
        <w:tblBorders>
          <w:top w:val="single" w:color="1F3864" w:sz="4"/>
          <w:left w:val="single" w:color="1F3864" w:sz="18"/>
          <w:bottom w:val="single" w:color="1F3864" w:sz="4"/>
          <w:right w:val="single" w:color="1F3864" w:sz="4"/>
          <w:insideH w:val="none" w:color="auto" w:sz="0"/>
          <w:insideV w:val="none" w:color="auto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DF0F6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LEGENDA DELLE PRIORITÀ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P1 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Bloccante. Da acquisire prima della trasmissione della relazione al RUP: in assenza, l'atto è impugnabile o l'addebito è indimostrabile.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P2 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Necessario per la quantificazione economica del danno e delle detrazioni.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P3  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Utile a rafforzare l'impianto probatorio, non indispensabile.</w:t>
            </w:r>
          </w:p>
        </w:tc>
      </w:tr>
    </w:tbl>
    <w:p>
      <w:pPr>
        <w:spacing w:after="200" w:before="0" w:line="27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/>
      </w:r>
    </w:p>
    <w:p>
      <w:pPr>
        <w:pStyle w:val="Heading1"/>
        <w:pBdr>
          <w:bottom w:val="single" w:color="1F3864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2.  ATTI DELLA DIREZIONE LAVORI E CORRISPONDENZA</w:t>
      </w:r>
    </w:p>
    <w:p>
      <w:pPr>
        <w:spacing w:after="160" w:before="0" w:line="276"/>
      </w:pPr>
      <w:r>
        <w:rPr>
          <w:rFonts w:ascii="Calibri" w:cs="Calibri" w:eastAsia="Calibri" w:hAnsi="Calibri"/>
          <w:i/>
          <w:iCs/>
          <w:color w:val="5C5C5C"/>
          <w:sz w:val="20"/>
          <w:szCs w:val="20"/>
        </w:rPr>
        <w:t xml:space="preserve">Gli allegati da A a L elencati in calce alla Relazione non sono stati resi disponibili per la verifica. Si richiedono in copia integrale, con particolare urgenza per le voci seguenti.</w:t>
      </w:r>
    </w:p>
    <w:tbl>
      <w:tblPr>
        <w:tblW w:type="dxa" w:w="9638"/>
        <w:tblBorders>
          <w:top w:val="single" w:color="B8B8B8" w:sz="4"/>
          <w:left w:val="single" w:color="B8B8B8" w:sz="4"/>
          <w:bottom w:val="single" w:color="B8B8B8" w:sz="4"/>
          <w:right w:val="single" w:color="B8B8B8" w:sz="4"/>
          <w:insideH w:val="single" w:color="B8B8B8" w:sz="2"/>
          <w:insideV w:val="single" w:color="B8B8B8" w:sz="2"/>
        </w:tblBorders>
      </w:tblPr>
      <w:tblGrid>
        <w:gridCol w:w="800"/>
        <w:gridCol w:w="3130"/>
        <w:gridCol w:w="4508"/>
        <w:gridCol w:w="1200"/>
      </w:tblGrid>
      <w:tr>
        <w:trPr>
          <w:tblHeader/>
        </w:trPr>
        <w:tc>
          <w:tcPr>
            <w:tcW w:type="dxa" w:w="800"/>
            <w:shd w:fill="1F386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3130"/>
            <w:shd w:fill="1F386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Documento / dato richiesto</w:t>
            </w:r>
          </w:p>
        </w:tc>
        <w:tc>
          <w:tcPr>
            <w:tcW w:type="dxa" w:w="4508"/>
            <w:shd w:fill="1F386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Finalità e rilievo collegato</w:t>
            </w:r>
          </w:p>
        </w:tc>
        <w:tc>
          <w:tcPr>
            <w:tcW w:type="dxa" w:w="1200"/>
            <w:shd w:fill="1F386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Prior.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1.1</w:t>
            </w:r>
          </w:p>
        </w:tc>
        <w:tc>
          <w:tcPr>
            <w:tcW w:type="dxa" w:w="313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Ordine di Servizio n. 19 – copia integrale, con data di emissione e stato di adempimento</w:t>
            </w:r>
          </w:p>
        </w:tc>
        <w:tc>
          <w:tcPr>
            <w:tcW w:type="dxa" w:w="450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L'OdS n. 19 è citato come fonte della contestazione in due righe della Tabella riepilogativa e al § 4.1 della Relazione, ma la riga corrispondente della cronistoria è vuota. Senza il documento la contestazione su strutture metalliche sulla guaina e inghisaggi resta priva di atto presupposto.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8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1.2</w:t>
            </w:r>
          </w:p>
        </w:tc>
        <w:tc>
          <w:tcPr>
            <w:tcW w:type="dxa" w:w="313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Copia integrale degli OdS nn. 1-20 con ricevute di trasmissione (PEC) e date di notifica</w:t>
            </w:r>
          </w:p>
        </w:tc>
        <w:tc>
          <w:tcPr>
            <w:tcW w:type="dxa" w:w="4508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La cronistoria riporta solo l'oggetto. Per provare l'inadempimento occorre dimostrare che ciascun ordine è stato ricevuto e che il termine assegnato è scaduto.</w:t>
            </w:r>
          </w:p>
        </w:tc>
        <w:tc>
          <w:tcPr>
            <w:tcW w:type="dxa" w:w="12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1.3</w:t>
            </w:r>
          </w:p>
        </w:tc>
        <w:tc>
          <w:tcPr>
            <w:tcW w:type="dxa" w:w="313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Data esatta di emissione dell'OdS n. 4</w:t>
            </w:r>
          </w:p>
        </w:tc>
        <w:tc>
          <w:tcPr>
            <w:tcW w:type="dxa" w:w="450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In cronistoria è indicato solo «Set. 2025». Il § 6 della Relazione calcola le penali «dalla data di ciascun inadempimento»: senza data non è quantificabile.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8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1.4</w:t>
            </w:r>
          </w:p>
        </w:tc>
        <w:tc>
          <w:tcPr>
            <w:tcW w:type="dxa" w:w="313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Chiarimento sulla successione cronologica degli OdS nn. 13, 14 e 15</w:t>
            </w:r>
          </w:p>
        </w:tc>
        <w:tc>
          <w:tcPr>
            <w:tcW w:type="dxa" w:w="4508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Le date in cronistoria non sono progressive (n. 12 del 03/02/2026, n. 13 del 04/03/2026, n. 14 del 11/02/2026, n. 15 del 04/02/2026). L'anomalia è utilizzabile dalla controparte per contestare la formazione del registro.</w:t>
            </w:r>
          </w:p>
        </w:tc>
        <w:tc>
          <w:tcPr>
            <w:tcW w:type="dxa" w:w="12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1.5</w:t>
            </w:r>
          </w:p>
        </w:tc>
        <w:tc>
          <w:tcPr>
            <w:tcW w:type="dxa" w:w="313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Riscontri, controdeduzioni e riserve dell'Impresa a ciascun OdS</w:t>
            </w:r>
          </w:p>
        </w:tc>
        <w:tc>
          <w:tcPr>
            <w:tcW w:type="dxa" w:w="450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Necessari per qualificare correttamente ogni voce come «inadempiuta», «parzialmente adempiuta» o «contestata», e per dare conto del contraddittorio già svolto.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8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1.6</w:t>
            </w:r>
          </w:p>
        </w:tc>
        <w:tc>
          <w:tcPr>
            <w:tcW w:type="dxa" w:w="313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Verbali di sopralluogo (Allegato E della Relazione)</w:t>
            </w:r>
          </w:p>
        </w:tc>
        <w:tc>
          <w:tcPr>
            <w:tcW w:type="dxa" w:w="4508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Citati fra gli allegati ma non prodotti.</w:t>
            </w:r>
          </w:p>
        </w:tc>
        <w:tc>
          <w:tcPr>
            <w:tcW w:type="dxa" w:w="12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1.7</w:t>
            </w:r>
          </w:p>
        </w:tc>
        <w:tc>
          <w:tcPr>
            <w:tcW w:type="dxa" w:w="313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Messa in mora del 05/05/2026 e comunicazioni precedenti (Allegato C)</w:t>
            </w:r>
          </w:p>
        </w:tc>
        <w:tc>
          <w:tcPr>
            <w:tcW w:type="dxa" w:w="450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Citata come atto presupposto in tutti e tre i documenti; non disponibile agli atti esaminati.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8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1.8</w:t>
            </w:r>
          </w:p>
        </w:tc>
        <w:tc>
          <w:tcPr>
            <w:tcW w:type="dxa" w:w="313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Contestazione della contabilità VMV del 05/07/2026 (Allegato D)</w:t>
            </w:r>
          </w:p>
        </w:tc>
        <w:tc>
          <w:tcPr>
            <w:tcW w:type="dxa" w:w="4508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Fonda l'addebito di € 56.752,03 richiamato al § 7 della Relazione.</w:t>
            </w:r>
          </w:p>
        </w:tc>
        <w:tc>
          <w:tcPr>
            <w:tcW w:type="dxa" w:w="12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P2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1.9</w:t>
            </w:r>
          </w:p>
        </w:tc>
        <w:tc>
          <w:tcPr>
            <w:tcW w:type="dxa" w:w="313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Comunicazione del Comando VV.F. di Pisa del 27/09/2025 e successive (Allegato H)</w:t>
            </w:r>
          </w:p>
        </w:tc>
        <w:tc>
          <w:tcPr>
            <w:tcW w:type="dxa" w:w="450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Documenta il pregiudizio alla funzionalità del presidio, elemento centrale della gravità dell'inadempimento.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8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1.10</w:t>
            </w:r>
          </w:p>
        </w:tc>
        <w:tc>
          <w:tcPr>
            <w:tcW w:type="dxa" w:w="313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13 bolle DDT dei materiali con annotazioni della DL (Allegato F)</w:t>
            </w:r>
          </w:p>
        </w:tc>
        <w:tc>
          <w:tcPr>
            <w:tcW w:type="dxa" w:w="4508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Sostengono l'addebito di impiego sistematico di materiali non accettati dalla DL.</w:t>
            </w:r>
          </w:p>
        </w:tc>
        <w:tc>
          <w:tcPr>
            <w:tcW w:type="dxa" w:w="12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P2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1.11</w:t>
            </w:r>
          </w:p>
        </w:tc>
        <w:tc>
          <w:tcPr>
            <w:tcW w:type="dxa" w:w="313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Quadro comparativo contabilità DL / Supino Group / VMV (Allegato G)</w:t>
            </w:r>
          </w:p>
        </w:tc>
        <w:tc>
          <w:tcPr>
            <w:tcW w:type="dxa" w:w="450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Necessario per la stima dei lavori regolarmente eseguiti (v. punto 2.6).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</w:tbl>
    <w:p>
      <w:pPr>
        <w:spacing w:after="240" w:before="0" w:line="27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/>
      </w:r>
    </w:p>
    <w:p>
      <w:pPr>
        <w:pStyle w:val="Heading1"/>
        <w:pBdr>
          <w:bottom w:val="single" w:color="1F3864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3.  DOCUMENTI CONTRATTUALI, CONTABILI E DI PROGETTO</w:t>
      </w:r>
    </w:p>
    <w:p>
      <w:pPr>
        <w:spacing w:after="160" w:before="0" w:line="276"/>
      </w:pPr>
      <w:r>
        <w:rPr>
          <w:rFonts w:ascii="Calibri" w:cs="Calibri" w:eastAsia="Calibri" w:hAnsi="Calibri"/>
          <w:i/>
          <w:iCs/>
          <w:color w:val="5C5C5C"/>
          <w:sz w:val="20"/>
          <w:szCs w:val="20"/>
        </w:rPr>
        <w:t xml:space="preserve">Nessuno dei documenti esaminati riporta i dati economici e temporali del contratto. È la lacuna che più incide sulla tenuta della proposta di risoluzione.</w:t>
      </w:r>
    </w:p>
    <w:tbl>
      <w:tblPr>
        <w:tblW w:type="dxa" w:w="9638"/>
        <w:tblBorders>
          <w:top w:val="single" w:color="B8B8B8" w:sz="4"/>
          <w:left w:val="single" w:color="B8B8B8" w:sz="4"/>
          <w:bottom w:val="single" w:color="B8B8B8" w:sz="4"/>
          <w:right w:val="single" w:color="B8B8B8" w:sz="4"/>
          <w:insideH w:val="single" w:color="B8B8B8" w:sz="2"/>
          <w:insideV w:val="single" w:color="B8B8B8" w:sz="2"/>
        </w:tblBorders>
      </w:tblPr>
      <w:tblGrid>
        <w:gridCol w:w="800"/>
        <w:gridCol w:w="3130"/>
        <w:gridCol w:w="4508"/>
        <w:gridCol w:w="1200"/>
      </w:tblGrid>
      <w:tr>
        <w:trPr>
          <w:tblHeader/>
        </w:trPr>
        <w:tc>
          <w:tcPr>
            <w:tcW w:type="dxa" w:w="800"/>
            <w:shd w:fill="1F386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3130"/>
            <w:shd w:fill="1F386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Documento / dato richiesto</w:t>
            </w:r>
          </w:p>
        </w:tc>
        <w:tc>
          <w:tcPr>
            <w:tcW w:type="dxa" w:w="4508"/>
            <w:shd w:fill="1F386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Finalità e rilievo collegato</w:t>
            </w:r>
          </w:p>
        </w:tc>
        <w:tc>
          <w:tcPr>
            <w:tcW w:type="dxa" w:w="1200"/>
            <w:shd w:fill="1F386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Prior.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2.1</w:t>
            </w:r>
          </w:p>
        </w:tc>
        <w:tc>
          <w:tcPr>
            <w:tcW w:type="dxa" w:w="313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Contratto Rep. n. 7/23 del 16/05/2023 e Capitolato Speciale d'Appalto integrali</w:t>
            </w:r>
          </w:p>
        </w:tc>
        <w:tc>
          <w:tcPr>
            <w:tcW w:type="dxa" w:w="450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Nessuno dei documenti esaminati riporta il contenuto contrattuale. Serve per verificare quali obblighi si assumono violati.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8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2.2</w:t>
            </w:r>
          </w:p>
        </w:tc>
        <w:tc>
          <w:tcPr>
            <w:tcW w:type="dxa" w:w="313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Importo contrattuale netto, oneri della sicurezza non soggetti a ribasso, importo della perizia n. 1071</w:t>
            </w:r>
          </w:p>
        </w:tc>
        <w:tc>
          <w:tcPr>
            <w:tcW w:type="dxa" w:w="4508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Dati assenti dall'intero corpus. Servono a dimensionare la gravità dell'inadempimento e il tetto delle penali.</w:t>
            </w:r>
          </w:p>
        </w:tc>
        <w:tc>
          <w:tcPr>
            <w:tcW w:type="dxa" w:w="12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2.3</w:t>
            </w:r>
          </w:p>
        </w:tc>
        <w:tc>
          <w:tcPr>
            <w:tcW w:type="dxa" w:w="313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Clausola del CSA in materia di penali: misura giornaliera, tetto massimo, presupposti di applicazione</w:t>
            </w:r>
          </w:p>
        </w:tc>
        <w:tc>
          <w:tcPr>
            <w:tcW w:type="dxa" w:w="450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Il § 6 della Relazione applica le penali ex art. 113-bis D.Lgs. 50/2016 «dalla data di ciascun inadempimento» agli OdS. L'art. 113-bis riguarda il ritardo nell'esecuzione: senza una clausola che preveda penali per singolo ordine di servizio, l'impostazione è contestabile.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8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2.4</w:t>
            </w:r>
          </w:p>
        </w:tc>
        <w:tc>
          <w:tcPr>
            <w:tcW w:type="dxa" w:w="313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Verbale di consegna dei lavori, termine di ultimazione, proroghe concesse, verbali di sospensione e ripresa</w:t>
            </w:r>
          </w:p>
        </w:tc>
        <w:tc>
          <w:tcPr>
            <w:tcW w:type="dxa" w:w="4508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L'intero corpus non contiene alcun dato temporale contrattuale. In una risoluzione per grave inadempimento il ritardo maturato è normalmente l'elemento portante e oggi manca del tutto.</w:t>
            </w:r>
          </w:p>
        </w:tc>
        <w:tc>
          <w:tcPr>
            <w:tcW w:type="dxa" w:w="12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2.5</w:t>
            </w:r>
          </w:p>
        </w:tc>
        <w:tc>
          <w:tcPr>
            <w:tcW w:type="dxa" w:w="313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Cronoprogramma contrattuale e ultimo aggiornamento approvato</w:t>
            </w:r>
          </w:p>
        </w:tc>
        <w:tc>
          <w:tcPr>
            <w:tcW w:type="dxa" w:w="450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Serve a dimostrare lo scostamento fra avanzamento previsto ed effettivo.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8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2.6</w:t>
            </w:r>
          </w:p>
        </w:tc>
        <w:tc>
          <w:tcPr>
            <w:tcW w:type="dxa" w:w="313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SAL emessi, certificati di pagamento, importo contabilizzato e liquidato ad oggi</w:t>
            </w:r>
          </w:p>
        </w:tc>
        <w:tc>
          <w:tcPr>
            <w:tcW w:type="dxa" w:w="4508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L'art. 108, co. 3, D.Lgs. 50/2016 impone che la relazione indichi la stima dei lavori eseguiti regolarmente. Il § 6 rinvia a un documento separato «in corso»: finché non è prodotta, la relazione è incompleta rispetto alla norma che invoca.</w:t>
            </w:r>
          </w:p>
        </w:tc>
        <w:tc>
          <w:tcPr>
            <w:tcW w:type="dxa" w:w="12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2.7</w:t>
            </w:r>
          </w:p>
        </w:tc>
        <w:tc>
          <w:tcPr>
            <w:tcW w:type="dxa" w:w="313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Estratti del Progetto Esecutivo (tavole, computo metrico, elenco prezzi) limitatamente a: linea vita copertura Ed. 6; punti luce e apparecchi illuminanti con grado IP richiesto; colore delle facciate e fondo fissativo; porte interne; impianto gas e caldaia preesistente</w:t>
            </w:r>
          </w:p>
        </w:tc>
        <w:tc>
          <w:tcPr>
            <w:tcW w:type="dxa" w:w="450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Sono esattamente gli addebiti che oggi non trovano riscontro né in un OdS né in una fotografia. Senza l'estratto di progetto non sono dimostrabili.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8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2.8</w:t>
            </w:r>
          </w:p>
        </w:tc>
        <w:tc>
          <w:tcPr>
            <w:tcW w:type="dxa" w:w="313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Elaborato che identifica la numerazione degli edifici (Ed. 1 … Ed. 6) con destinazione dei locali</w:t>
            </w:r>
          </w:p>
        </w:tc>
        <w:tc>
          <w:tcPr>
            <w:tcW w:type="dxa" w:w="4508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I tre documenti si contraddicono fra Ed. 1 ed Ed. 6 (v. § 6.2 della presente richiesta). Serve la chiave di lettura ufficiale.</w:t>
            </w:r>
          </w:p>
        </w:tc>
        <w:tc>
          <w:tcPr>
            <w:tcW w:type="dxa" w:w="12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2.9</w:t>
            </w:r>
          </w:p>
        </w:tc>
        <w:tc>
          <w:tcPr>
            <w:tcW w:type="dxa" w:w="313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Polizza della cauzione definitiva: massimale, scadenza, garante</w:t>
            </w:r>
          </w:p>
        </w:tc>
        <w:tc>
          <w:tcPr>
            <w:tcW w:type="dxa" w:w="450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Il § 8.4 della Relazione ne propone l'escussione integrale.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P2</w:t>
            </w:r>
          </w:p>
        </w:tc>
      </w:tr>
      <w:tr>
        <w:trPr>
          <w:cantSplit/>
        </w:trPr>
        <w:tc>
          <w:tcPr>
            <w:tcW w:type="dxa" w:w="8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2.10</w:t>
            </w:r>
          </w:p>
        </w:tc>
        <w:tc>
          <w:tcPr>
            <w:tcW w:type="dxa" w:w="313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Autorizzazione al subappalto a favore di VMV Costruzioni e relativo contratto</w:t>
            </w:r>
          </w:p>
        </w:tc>
        <w:tc>
          <w:tcPr>
            <w:tcW w:type="dxa" w:w="4508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La Relazione qualifica VMV come subappaltatrice; l'OdS n. 20 la tratta come impresa autonoma. Va chiarito il rapporto giuridico.</w:t>
            </w:r>
          </w:p>
        </w:tc>
        <w:tc>
          <w:tcPr>
            <w:tcW w:type="dxa" w:w="12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P2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2.11</w:t>
            </w:r>
          </w:p>
        </w:tc>
        <w:tc>
          <w:tcPr>
            <w:tcW w:type="dxa" w:w="313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Registro di contabilità: riserve iscritte dall'Impresa ai sensi dell'art. 205 D.Lgs. 50/2016</w:t>
            </w:r>
          </w:p>
        </w:tc>
        <w:tc>
          <w:tcPr>
            <w:tcW w:type="dxa" w:w="450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Eventuali riserve già iscritte cambiano la strategia difensiva e vanno conosciute prima di trasmettere la relazione al RUP.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</w:tbl>
    <w:p>
      <w:pPr>
        <w:spacing w:after="240" w:before="0" w:line="27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/>
      </w:r>
    </w:p>
    <w:p>
      <w:pPr>
        <w:pStyle w:val="Heading1"/>
        <w:pBdr>
          <w:bottom w:val="single" w:color="1F3864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4.  SICUREZZA E COORDINAMENTO</w:t>
      </w:r>
    </w:p>
    <w:p>
      <w:pPr>
        <w:spacing w:after="160" w:before="0" w:line="276"/>
      </w:pPr>
      <w:r>
        <w:rPr>
          <w:rFonts w:ascii="Calibri" w:cs="Calibri" w:eastAsia="Calibri" w:hAnsi="Calibri"/>
          <w:i/>
          <w:iCs/>
          <w:color w:val="5C5C5C"/>
          <w:sz w:val="20"/>
          <w:szCs w:val="20"/>
        </w:rPr>
        <w:t xml:space="preserve">Il fascicolo contesta ripetutamente violazioni del D.Lgs. 81/2008 senza che risulti agli atti alcun intervento del Coordinatore per la Sicurezza in fase di Esecuzione.</w:t>
      </w:r>
    </w:p>
    <w:tbl>
      <w:tblPr>
        <w:tblW w:type="dxa" w:w="9638"/>
        <w:tblBorders>
          <w:top w:val="single" w:color="B8B8B8" w:sz="4"/>
          <w:left w:val="single" w:color="B8B8B8" w:sz="4"/>
          <w:bottom w:val="single" w:color="B8B8B8" w:sz="4"/>
          <w:right w:val="single" w:color="B8B8B8" w:sz="4"/>
          <w:insideH w:val="single" w:color="B8B8B8" w:sz="2"/>
          <w:insideV w:val="single" w:color="B8B8B8" w:sz="2"/>
        </w:tblBorders>
      </w:tblPr>
      <w:tblGrid>
        <w:gridCol w:w="800"/>
        <w:gridCol w:w="3130"/>
        <w:gridCol w:w="4508"/>
        <w:gridCol w:w="1200"/>
      </w:tblGrid>
      <w:tr>
        <w:trPr>
          <w:tblHeader/>
        </w:trPr>
        <w:tc>
          <w:tcPr>
            <w:tcW w:type="dxa" w:w="800"/>
            <w:shd w:fill="1F386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3130"/>
            <w:shd w:fill="1F386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Documento / dato richiesto</w:t>
            </w:r>
          </w:p>
        </w:tc>
        <w:tc>
          <w:tcPr>
            <w:tcW w:type="dxa" w:w="4508"/>
            <w:shd w:fill="1F386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Finalità e rilievo collegato</w:t>
            </w:r>
          </w:p>
        </w:tc>
        <w:tc>
          <w:tcPr>
            <w:tcW w:type="dxa" w:w="1200"/>
            <w:shd w:fill="1F386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Prior.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3.1</w:t>
            </w:r>
          </w:p>
        </w:tc>
        <w:tc>
          <w:tcPr>
            <w:tcW w:type="dxa" w:w="313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Nominativo del Coordinatore per la Sicurezza in fase di Esecuzione e copia integrale dei suoi atti: verbali di visita, contestazioni, sospensioni, comunicazioni ex art. 92 D.Lgs. 81/2008</w:t>
            </w:r>
          </w:p>
        </w:tc>
        <w:tc>
          <w:tcPr>
            <w:tcW w:type="dxa" w:w="450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Ponteggio non conforme, bombole di gas abbandonate, cavi elettrici scoperti e mancata installazione della linea vita sono materia del CSE. Nel corpus non compare alcun atto del Coordinatore: è la lacuna più evidente sul fronte sicurezza.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8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3.2</w:t>
            </w:r>
          </w:p>
        </w:tc>
        <w:tc>
          <w:tcPr>
            <w:tcW w:type="dxa" w:w="313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PSC e POS di Supino Group e VMV, con tutti gli aggiornamenti</w:t>
            </w:r>
          </w:p>
        </w:tc>
        <w:tc>
          <w:tcPr>
            <w:tcW w:type="dxa" w:w="4508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L'OdS n. 10 contesta il POS: serve la versione contestata e quella eventualmente trasmessa in riscontro.</w:t>
            </w:r>
          </w:p>
        </w:tc>
        <w:tc>
          <w:tcPr>
            <w:tcW w:type="dxa" w:w="12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P2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3.3</w:t>
            </w:r>
          </w:p>
        </w:tc>
        <w:tc>
          <w:tcPr>
            <w:tcW w:type="dxa" w:w="313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Libretto del ponteggio, PiMUS e progetto del ponteggio ove fuori schema tipo</w:t>
            </w:r>
          </w:p>
        </w:tc>
        <w:tc>
          <w:tcPr>
            <w:tcW w:type="dxa" w:w="450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L'OdS n. 20 afferma la non conformità «al libretto» e nega il corrispettivo economico: entrambe le affermazioni vanno documentate.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8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3.4</w:t>
            </w:r>
          </w:p>
        </w:tc>
        <w:tc>
          <w:tcPr>
            <w:tcW w:type="dxa" w:w="313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Eventuali segnalazioni o verbali di ASL, Ispettorato Territoriale del Lavoro o Vigili del Fuoco</w:t>
            </w:r>
          </w:p>
        </w:tc>
        <w:tc>
          <w:tcPr>
            <w:tcW w:type="dxa" w:w="4508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Un accertamento di un organo di vigilanza è la prova più solida delle violazioni ex D.Lgs. 81/2008 contestate.</w:t>
            </w:r>
          </w:p>
        </w:tc>
        <w:tc>
          <w:tcPr>
            <w:tcW w:type="dxa" w:w="12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P2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3.5</w:t>
            </w:r>
          </w:p>
        </w:tc>
        <w:tc>
          <w:tcPr>
            <w:tcW w:type="dxa" w:w="313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Notifica preliminare e successivi aggiornamenti</w:t>
            </w:r>
          </w:p>
        </w:tc>
        <w:tc>
          <w:tcPr>
            <w:tcW w:type="dxa" w:w="450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Serve a identificare le imprese formalmente presenti in cantiere nei periodi contestati.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P3</w:t>
            </w:r>
          </w:p>
        </w:tc>
      </w:tr>
    </w:tbl>
    <w:p>
      <w:pPr>
        <w:spacing w:after="240" w:before="0" w:line="27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/>
      </w:r>
    </w:p>
    <w:p>
      <w:pPr>
        <w:pStyle w:val="Heading1"/>
        <w:pBdr>
          <w:bottom w:val="single" w:color="1F3864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5.  INAGIBILITÀ DEI LOCALI E STATO DEI LUOGHI</w:t>
      </w:r>
    </w:p>
    <w:tbl>
      <w:tblPr>
        <w:tblW w:type="dxa" w:w="9638"/>
        <w:tblBorders>
          <w:top w:val="single" w:color="B8B8B8" w:sz="4"/>
          <w:left w:val="single" w:color="B8B8B8" w:sz="4"/>
          <w:bottom w:val="single" w:color="B8B8B8" w:sz="4"/>
          <w:right w:val="single" w:color="B8B8B8" w:sz="4"/>
          <w:insideH w:val="single" w:color="B8B8B8" w:sz="2"/>
          <w:insideV w:val="single" w:color="B8B8B8" w:sz="2"/>
        </w:tblBorders>
      </w:tblPr>
      <w:tblGrid>
        <w:gridCol w:w="800"/>
        <w:gridCol w:w="3130"/>
        <w:gridCol w:w="4508"/>
        <w:gridCol w:w="1200"/>
      </w:tblGrid>
      <w:tr>
        <w:trPr>
          <w:tblHeader/>
        </w:trPr>
        <w:tc>
          <w:tcPr>
            <w:tcW w:type="dxa" w:w="800"/>
            <w:shd w:fill="1F386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3130"/>
            <w:shd w:fill="1F386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Documento / dato richiesto</w:t>
            </w:r>
          </w:p>
        </w:tc>
        <w:tc>
          <w:tcPr>
            <w:tcW w:type="dxa" w:w="4508"/>
            <w:shd w:fill="1F386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Finalità e rilievo collegato</w:t>
            </w:r>
          </w:p>
        </w:tc>
        <w:tc>
          <w:tcPr>
            <w:tcW w:type="dxa" w:w="1200"/>
            <w:shd w:fill="1F386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Prior.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4.1</w:t>
            </w:r>
          </w:p>
        </w:tc>
        <w:tc>
          <w:tcPr>
            <w:tcW w:type="dxa" w:w="313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Atto formale con cui gli ambienti sono stati dichiarati non agibili: autorità emanante, data, protocollo, estensione dell'inagibilità</w:t>
            </w:r>
          </w:p>
        </w:tc>
        <w:tc>
          <w:tcPr>
            <w:tcW w:type="dxa" w:w="450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I documenti usano la forma passiva («ambienti dichiarati temporaneamente non agibili») senza indicare da chi. L'inagibilità è dichiarata dall'autorità competente, non dalla Direzione Lavori: senza l'atto, l'affermazione più grave dell'intero fascicolo resta non provata.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8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4.2</w:t>
            </w:r>
          </w:p>
        </w:tc>
        <w:tc>
          <w:tcPr>
            <w:tcW w:type="dxa" w:w="313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Comunicazioni del Comando VV.F. sulla sospensione delle attività</w:t>
            </w:r>
          </w:p>
        </w:tc>
        <w:tc>
          <w:tcPr>
            <w:tcW w:type="dxa" w:w="4508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L'OdS n. 20 parla di «sospensione di tutte le attività del Comando», la Relazione di «inagibilità di un'aula». Le due affermazioni non sono compatibili e va stabilito quale è documentata.</w:t>
            </w:r>
          </w:p>
        </w:tc>
        <w:tc>
          <w:tcPr>
            <w:tcW w:type="dxa" w:w="12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4.3</w:t>
            </w:r>
          </w:p>
        </w:tc>
        <w:tc>
          <w:tcPr>
            <w:tcW w:type="dxa" w:w="313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Eventuali analisi, campionamenti o relazioni tecniche sulle muffe e sull'umidità</w:t>
            </w:r>
          </w:p>
        </w:tc>
        <w:tc>
          <w:tcPr>
            <w:tcW w:type="dxa" w:w="450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Trasformano un rilievo visivo in un accertamento tecnico, e sostengono la voce di danno per la bonifica.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P2</w:t>
            </w:r>
          </w:p>
        </w:tc>
      </w:tr>
    </w:tbl>
    <w:p>
      <w:pPr>
        <w:spacing w:after="240" w:before="0" w:line="27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/>
      </w:r>
    </w:p>
    <w:p>
      <w:pPr>
        <w:pStyle w:val="Heading1"/>
        <w:pBdr>
          <w:bottom w:val="single" w:color="1F3864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6.  CORREDO FOTOGRAFICO</w:t>
      </w:r>
    </w:p>
    <w:tbl>
      <w:tblPr>
        <w:tblW w:type="dxa" w:w="9638"/>
        <w:tblBorders>
          <w:top w:val="single" w:color="B8B8B8" w:sz="4"/>
          <w:left w:val="single" w:color="B8B8B8" w:sz="4"/>
          <w:bottom w:val="single" w:color="B8B8B8" w:sz="4"/>
          <w:right w:val="single" w:color="B8B8B8" w:sz="4"/>
          <w:insideH w:val="single" w:color="B8B8B8" w:sz="2"/>
          <w:insideV w:val="single" w:color="B8B8B8" w:sz="2"/>
        </w:tblBorders>
      </w:tblPr>
      <w:tblGrid>
        <w:gridCol w:w="800"/>
        <w:gridCol w:w="3130"/>
        <w:gridCol w:w="4508"/>
        <w:gridCol w:w="1200"/>
      </w:tblGrid>
      <w:tr>
        <w:trPr>
          <w:tblHeader/>
        </w:trPr>
        <w:tc>
          <w:tcPr>
            <w:tcW w:type="dxa" w:w="800"/>
            <w:shd w:fill="1F386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3130"/>
            <w:shd w:fill="1F386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Documento / dato richiesto</w:t>
            </w:r>
          </w:p>
        </w:tc>
        <w:tc>
          <w:tcPr>
            <w:tcW w:type="dxa" w:w="4508"/>
            <w:shd w:fill="1F386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Finalità e rilievo collegato</w:t>
            </w:r>
          </w:p>
        </w:tc>
        <w:tc>
          <w:tcPr>
            <w:tcW w:type="dxa" w:w="1200"/>
            <w:shd w:fill="1F386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Prior.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5.1</w:t>
            </w:r>
          </w:p>
        </w:tc>
        <w:tc>
          <w:tcPr>
            <w:tcW w:type="dxa" w:w="313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File originali delle fotografie con metadati EXIF integri (data e ora di scatto)</w:t>
            </w:r>
          </w:p>
        </w:tc>
        <w:tc>
          <w:tcPr>
            <w:tcW w:type="dxa" w:w="450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Le fotografie prodotte non recano data di scatto né identificazione del locale. È la principale debolezza del corredo probatorio in vista di un contenzioso.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8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5.2</w:t>
            </w:r>
          </w:p>
        </w:tc>
        <w:tc>
          <w:tcPr>
            <w:tcW w:type="dxa" w:w="313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Chiarimento sulla Foto 3 della Relazione Fotografica</w:t>
            </w:r>
          </w:p>
        </w:tc>
        <w:tc>
          <w:tcPr>
            <w:tcW w:type="dxa" w:w="4508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Le didascalie passano da «Foto 1-2» a «Foto 4-5-6»: la Foto 3 non esiste. Di conseguenza le fotografie effettivamente presenti sono 69, mentre la Relazione ne dichiara 70 in cinque punti diversi.</w:t>
            </w:r>
          </w:p>
        </w:tc>
        <w:tc>
          <w:tcPr>
            <w:tcW w:type="dxa" w:w="12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5.3</w:t>
            </w:r>
          </w:p>
        </w:tc>
        <w:tc>
          <w:tcPr>
            <w:tcW w:type="dxa" w:w="313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Didascalie delle due immagini prive di numerazione a pag. 19 della Relazione Fotografica</w:t>
            </w:r>
          </w:p>
        </w:tc>
        <w:tc>
          <w:tcPr>
            <w:tcW w:type="dxa" w:w="450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Due fotografie sono prive di didascalia e di numero: allo stato sono inutilizzabili come prova.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8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5.4</w:t>
            </w:r>
          </w:p>
        </w:tc>
        <w:tc>
          <w:tcPr>
            <w:tcW w:type="dxa" w:w="313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Le due immagini mancanti del gruppo «Foto 62-63-64-65»</w:t>
            </w:r>
          </w:p>
        </w:tc>
        <w:tc>
          <w:tcPr>
            <w:tcW w:type="dxa" w:w="4508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La didascalia annuncia quattro fotografie ma le immagini presenti sono due. Il § 4.5 e la tabella riepilogativa citano «Foto 62-65» a sostegno dell'addebito sull'intonaco armato GFRP ex art. 1669 c.c.</w:t>
            </w:r>
          </w:p>
        </w:tc>
        <w:tc>
          <w:tcPr>
            <w:tcW w:type="dxa" w:w="12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5.5</w:t>
            </w:r>
          </w:p>
        </w:tc>
        <w:tc>
          <w:tcPr>
            <w:tcW w:type="dxa" w:w="313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Fotografie del sopralluogo dell'08/09/2026 in alta risoluzione</w:t>
            </w:r>
          </w:p>
        </w:tc>
        <w:tc>
          <w:tcPr>
            <w:tcW w:type="dxa" w:w="450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Le immagini allegate all'OdS n. 20 e alla lettera misurano 212×379 e 259×345 pixel: a stampa sono al limite dell'inutilizzabile per documentare muffe e dettagli esecutivi.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8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5.6</w:t>
            </w:r>
          </w:p>
        </w:tc>
        <w:tc>
          <w:tcPr>
            <w:tcW w:type="dxa" w:w="313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Autore e data della Relazione Fotografica, da riportare in frontespizio, e planimetria con i punti di ripresa</w:t>
            </w:r>
          </w:p>
        </w:tc>
        <w:tc>
          <w:tcPr>
            <w:tcW w:type="dxa" w:w="4508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Il documento non reca data né firma; nei metadati del file risultano l'autore «Fabrizio Mariani» e la data di creazione 05/05/2026, mentre la Relazione la attribuisce a 3ing S.r.l.</w:t>
            </w:r>
          </w:p>
        </w:tc>
        <w:tc>
          <w:tcPr>
            <w:tcW w:type="dxa" w:w="12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</w:tbl>
    <w:p>
      <w:pPr>
        <w:spacing w:after="240" w:before="0" w:line="27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/>
      </w:r>
    </w:p>
    <w:p>
      <w:pPr>
        <w:pStyle w:val="Heading1"/>
        <w:pBdr>
          <w:bottom w:val="single" w:color="1F3864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7.  CHIARIMENTI RICHIESTI ALLA DIREZIONE LAVORI</w:t>
      </w:r>
    </w:p>
    <w:p>
      <w:pPr>
        <w:spacing w:after="160" w:before="0" w:line="276"/>
      </w:pPr>
      <w:r>
        <w:rPr>
          <w:rFonts w:ascii="Calibri" w:cs="Calibri" w:eastAsia="Calibri" w:hAnsi="Calibri"/>
          <w:i/>
          <w:iCs/>
          <w:color w:val="5C5C5C"/>
          <w:sz w:val="20"/>
          <w:szCs w:val="20"/>
        </w:rPr>
        <w:t xml:space="preserve">Le voci che seguono non richiedono la produzione di un documento ma una presa di posizione della DL. Per la Relazione servono a correggerla prima dell'invio; per l'OdS n. 20 e la lettera, già trasmessi, servono a definire il contenuto dell'atto rettificativo da adottare prima del sopralluogo del 18/09.</w:t>
      </w:r>
    </w:p>
    <w:tbl>
      <w:tblPr>
        <w:tblW w:type="dxa" w:w="9638"/>
        <w:tblBorders>
          <w:top w:val="single" w:color="B8B8B8" w:sz="4"/>
          <w:left w:val="single" w:color="B8B8B8" w:sz="4"/>
          <w:bottom w:val="single" w:color="B8B8B8" w:sz="4"/>
          <w:right w:val="single" w:color="B8B8B8" w:sz="4"/>
          <w:insideH w:val="single" w:color="B8B8B8" w:sz="2"/>
          <w:insideV w:val="single" w:color="B8B8B8" w:sz="2"/>
        </w:tblBorders>
      </w:tblPr>
      <w:tblGrid>
        <w:gridCol w:w="800"/>
        <w:gridCol w:w="3130"/>
        <w:gridCol w:w="4508"/>
        <w:gridCol w:w="1200"/>
      </w:tblGrid>
      <w:tr>
        <w:trPr>
          <w:tblHeader/>
        </w:trPr>
        <w:tc>
          <w:tcPr>
            <w:tcW w:type="dxa" w:w="800"/>
            <w:shd w:fill="1F386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3130"/>
            <w:shd w:fill="1F386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Documento / dato richiesto</w:t>
            </w:r>
          </w:p>
        </w:tc>
        <w:tc>
          <w:tcPr>
            <w:tcW w:type="dxa" w:w="4508"/>
            <w:shd w:fill="1F386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Finalità e rilievo collegato</w:t>
            </w:r>
          </w:p>
        </w:tc>
        <w:tc>
          <w:tcPr>
            <w:tcW w:type="dxa" w:w="1200"/>
            <w:shd w:fill="1F3864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Prior.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6.1</w:t>
            </w:r>
          </w:p>
        </w:tc>
        <w:tc>
          <w:tcPr>
            <w:tcW w:type="dxa" w:w="313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Di quale elemento costruttivo si tratta con il termine «brindosbarra»</w:t>
            </w:r>
          </w:p>
        </w:tc>
        <w:tc>
          <w:tcPr>
            <w:tcW w:type="dxa" w:w="450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Il termine compare nell'OdS n. 20 (§ 2.4) e nella lettera (§ e) ma non è riconducibile ad alcun elemento tecnico identificabile. Una prescrizione formulata su un elemento non identificabile è ineseguibile e quindi inopponibile all'Impresa.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8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6.2</w:t>
            </w:r>
          </w:p>
        </w:tc>
        <w:tc>
          <w:tcPr>
            <w:tcW w:type="dxa" w:w="313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Come si documenta il nesso causale fra la copertura dell'Ed. 6 e le muffe rilevate al piano terra dell'Ed. 1</w:t>
            </w:r>
          </w:p>
        </w:tc>
        <w:tc>
          <w:tcPr>
            <w:tcW w:type="dxa" w:w="4508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Le fotografie sono didascalizzate «Ed 1 Piano Terra», mentre la Relazione (§§ 4.1 e 6) attribuisce la causa alla copertura dell'Ed. 6. Inoltre la Foto 6 descrive umidità «in posizione bassa di parete» attribuendola a infiltrazione dalla copertura: la collocazione bassa indica piuttosto risalita capillare o perdita impiantistica. È il primo punto che verrà attaccato.</w:t>
            </w:r>
          </w:p>
        </w:tc>
        <w:tc>
          <w:tcPr>
            <w:tcW w:type="dxa" w:w="12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6.3</w:t>
            </w:r>
          </w:p>
        </w:tc>
        <w:tc>
          <w:tcPr>
            <w:tcW w:type="dxa" w:w="313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Prescrizione corretta da associare alla non conformità 2.2 dell'OdS n. 20 (tubazione gas che attraversa muratura portante)</w:t>
            </w:r>
          </w:p>
        </w:tc>
        <w:tc>
          <w:tcPr>
            <w:tcW w:type="dxa" w:w="450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La prescrizione attualmente riportata impone di «completare la chiusura delle partizioni con lastre di cartongesso, previa verifica di tenuta idraulica»: non ha alcuna attinenza con la non conformità contestata e appare riportata da un altro ordine di servizio.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8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6.4</w:t>
            </w:r>
          </w:p>
        </w:tc>
        <w:tc>
          <w:tcPr>
            <w:tcW w:type="dxa" w:w="313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Conteggio definitivo e concordato degli OdS emessi e di quelli inadempiuti</w:t>
            </w:r>
          </w:p>
        </w:tc>
        <w:tc>
          <w:tcPr>
            <w:tcW w:type="dxa" w:w="4508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Il corpus fornisce quattro dati diversi: Relazione § 3 (17 inadempiuti + 1 in ritardo + 2 adempiuti = 20 su 19 dichiarati); cronistoria (16 inadempiuti, 1 riga vuota); box riepilogativo (17 su 19); lettera al Comando (15 su 19).</w:t>
            </w:r>
          </w:p>
        </w:tc>
        <w:tc>
          <w:tcPr>
            <w:tcW w:type="dxa" w:w="12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6.5</w:t>
            </w:r>
          </w:p>
        </w:tc>
        <w:tc>
          <w:tcPr>
            <w:tcW w:type="dxa" w:w="313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Documentazione a supporto degli addebiti su linea vita, punti luce/grado IP e imbiancatura esterna</w:t>
            </w:r>
          </w:p>
        </w:tc>
        <w:tc>
          <w:tcPr>
            <w:tcW w:type="dxa" w:w="450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Sono tre addebiti gravi — il primo classificato «CRITICA – SICUREZZA» — per i quali non risulta emesso alcun OdS né esiste documentazione fotografica. Il § 4.4 li dice «già contestati», ma la cronistoria non lo conferma.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8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6.6</w:t>
            </w:r>
          </w:p>
        </w:tc>
        <w:tc>
          <w:tcPr>
            <w:tcW w:type="dxa" w:w="313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Conferma sulle fotografie raccolte e non utilizzate</w:t>
            </w:r>
          </w:p>
        </w:tc>
        <w:tc>
          <w:tcPr>
            <w:tcW w:type="dxa" w:w="4508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color w:val="5C5C5C"/>
                <w:sz w:val="18"/>
                <w:szCs w:val="18"/>
              </w:rPr>
              <w:t xml:space="preserve">Non sono richiamate in alcun documento le Foto 25-26 (macchia d'acqua e umidità da infiltrazione), 48 (guaina non protetta), 52, 58-61 (assenza di tassellatura, pertinente al capo «inghisaggi»), 30, 38, 39, 40, 57 e 66-67. Va deciso se valorizzarle.</w:t>
            </w:r>
          </w:p>
        </w:tc>
        <w:tc>
          <w:tcPr>
            <w:tcW w:type="dxa" w:w="1200"/>
            <w:shd w:fill="F7F8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P2</w:t>
            </w:r>
          </w:p>
        </w:tc>
      </w:tr>
    </w:tbl>
    <w:p>
      <w:pPr>
        <w:spacing w:after="260" w:before="0" w:line="27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/>
      </w:r>
    </w:p>
    <w:p>
      <w:pPr>
        <w:pStyle w:val="Heading1"/>
        <w:pBdr>
          <w:bottom w:val="single" w:color="1F3864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8.  AVVERTENZA SUI TEMPI</w:t>
      </w:r>
    </w:p>
    <w:tbl>
      <w:tblPr>
        <w:tblW w:type="dxa" w:w="9638"/>
        <w:tblBorders>
          <w:top w:val="single" w:color="1F3864" w:sz="4"/>
          <w:left w:val="single" w:color="1F3864" w:sz="18"/>
          <w:bottom w:val="single" w:color="1F3864" w:sz="4"/>
          <w:right w:val="single" w:color="1F3864" w:sz="4"/>
          <w:insideH w:val="none" w:color="auto" w:sz="0"/>
          <w:insideV w:val="none" w:color="auto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ECE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Il fascicolo contiene una contraddizione che va sciolta prima di ogni altra cosa.</w:t>
            </w:r>
          </w:p>
          <w:p>
            <w:pPr>
              <w:spacing w:after="100" w:before="1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L'Ordine di Servizio n. 20, già trasmesso il 09/09/2026, convoca il sopralluogo in contraddittorio per venerdì 18 settembre 2026; la lettera di pari data, anch'essa già trasmessa, assegna 48 ore per il riscontro. La Relazione non ancora inviata classifica però lo stesso OdS n. 20 come «Inadempiente – nessun riscontro» e su quella base propone la risoluzione del contratto.</w:t>
            </w:r>
          </w:p>
          <w:p>
            <w:pPr>
              <w:spacing w:after="10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Poiché i due atti che fissano i termini sono già usciti, quei termini sono ormai opponibili alla Direzione Lavori. Se la Relazione viene trasmessa prima che siano scaduti, l'Impresa eccepirà che la risoluzione è stata proposta prima della scadenza del termine assegnato dalla DL stessa.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Ne discendono due conseguenze operative: (i) la Relazione non va trasmessa finché il contraddittorio del 18/09 non si è svolto e non ne è stato redatto verbale; (ii) sui punti dell'OdS n. 20 che allo stato sono ineseguibili — in primo luogo la prescrizione 2.2, che non corrisponde alla non conformità contestata, e l'elemento indicato come «brindosbarra» — occorre un atto rettificativo prima del sopralluogo, perché una prescrizione ineseguibile non è opponibile e il suo mancato adempimento non è contestabile.</w:t>
            </w:r>
          </w:p>
        </w:tc>
      </w:tr>
    </w:tbl>
    <w:p>
      <w:pPr>
        <w:spacing w:after="260" w:before="0" w:line="27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/>
      </w:r>
    </w:p>
    <w:p>
      <w:pPr>
        <w:pStyle w:val="Heading1"/>
        <w:pBdr>
          <w:bottom w:val="single" w:color="1F3864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9.  MODALITÀ E TERMINE DI RISCONTRO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0"/>
          <w:szCs w:val="20"/>
        </w:rPr>
        <w:t xml:space="preserve">Si richiede la trasmissione in formato digitale, mantenendo per ogni file la denominazione e la numerazione utilizzate nella presente richiesta (es. «1.1 – OdS 19.pdf»).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0"/>
          <w:szCs w:val="20"/>
        </w:rPr>
        <w:t xml:space="preserve">Per le fotografie si richiedono i file originali non ricompressi, con metadati EXIF integri.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0"/>
          <w:szCs w:val="20"/>
        </w:rPr>
        <w:t xml:space="preserve">Le voci contrassegnate P1 sono richieste con precedenza: senza di esse la revisione dei documenti non può essere completata.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0"/>
          <w:szCs w:val="20"/>
        </w:rPr>
        <w:t xml:space="preserve">Ove un documento non esista, si richiede di darne atto espressamente: l'assenza è essa stessa un dato rilevante per la strategia da adottare.</w:t>
      </w:r>
    </w:p>
    <w:p>
      <w:pPr>
        <w:pStyle w:val="ListParagraph"/>
        <w:numPr>
          <w:ilvl w:val="0"/>
          <w:numId w:val="2"/>
        </w:numPr>
        <w:spacing w:after="240" w:line="276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Termine richiesto per il riscontro: [ da completare ].</w:t>
      </w:r>
    </w:p>
    <w:p>
      <w:pPr>
        <w:spacing w:after="400" w:before="0" w:line="27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/>
      </w:r>
    </w:p>
    <w:p>
      <w:pPr>
        <w:spacing w:after="400" w:before="0" w:line="276"/>
      </w:pPr>
      <w:r>
        <w:rPr>
          <w:rFonts w:ascii="Calibri" w:cs="Calibri" w:eastAsia="Calibri" w:hAnsi="Calibri"/>
          <w:color w:val="5C5C5C"/>
          <w:sz w:val="20"/>
          <w:szCs w:val="20"/>
        </w:rPr>
        <w:t xml:space="preserve">Luogo e data  ____________________________</w:t>
      </w:r>
    </w:p>
    <w:p>
      <w:pPr>
        <w:spacing w:after="0"/>
        <w:jc w:val="right"/>
      </w:pPr>
      <w:r>
        <w:rPr>
          <w:rFonts w:ascii="Calibri" w:cs="Calibri" w:eastAsia="Calibri" w:hAnsi="Calibri"/>
          <w:sz w:val="20"/>
          <w:szCs w:val="20"/>
        </w:rPr>
        <w:t xml:space="preserve">_________________________________</w:t>
      </w:r>
    </w:p>
    <w:p>
      <w:pPr>
        <w:spacing w:after="0"/>
        <w:jc w:val="right"/>
      </w:pPr>
      <w:r>
        <w:rPr>
          <w:rFonts w:ascii="Calibri" w:cs="Calibri" w:eastAsia="Calibri" w:hAnsi="Calibri"/>
          <w:color w:val="5C5C5C"/>
          <w:sz w:val="19"/>
          <w:szCs w:val="19"/>
        </w:rPr>
        <w:t xml:space="preserve">[ qualifica e nominativo del richiedente ]</w:t>
      </w:r>
    </w:p>
    <w:sectPr>
      <w:pgSz w:w="11906" w:h="16838" w:orient="portrait"/>
      <w:pgMar w:top="1247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864"/>
      <w:sz w:val="24"/>
      <w:szCs w:val="24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Richiesta di integrazione documentale – Comando VV.F. Pisa</dc:title>
  <dc:creator>Verifica documentale</dc:creator>
  <dc:description>Elenco dei documenti e dei chiarimenti necessari al consolidamento del fascicolo di risoluzione contrattuale</dc:description>
  <cp:lastModifiedBy>Un-named</cp:lastModifiedBy>
  <cp:revision>1</cp:revision>
  <dcterms:created xsi:type="dcterms:W3CDTF">2026-09-09T17:25:29.860Z</dcterms:created>
  <dcterms:modified xsi:type="dcterms:W3CDTF">2026-09-09T17:25:29.860Z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