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3B0"/>
          <w:sz w:val="32"/>
        </w:rPr>
        <w:t>ACUERDO DE PRESTACIÓN DE SERVICIOS</w:t>
      </w:r>
    </w:p>
    <w:p>
      <w:pPr>
        <w:spacing w:after="40"/>
        <w:jc w:val="center"/>
      </w:pPr>
      <w:r>
        <w:rPr>
          <w:color w:val="555555"/>
          <w:sz w:val="24"/>
        </w:rPr>
        <w:t>Automatización de Contratos</w:t>
      </w:r>
    </w:p>
    <w:p>
      <w:pPr>
        <w:jc w:val="center"/>
      </w:pPr>
      <w:r>
        <w:rPr>
          <w:color w:val="555555"/>
          <w:sz w:val="20"/>
        </w:rPr>
        <w:t>Nils Digital  ·  Financiera Isthmus Capital, S.A.</w:t>
      </w:r>
    </w:p>
    <w:p>
      <w:pPr>
        <w:spacing w:before="200" w:after="80"/>
      </w:pPr>
      <w:r>
        <w:rPr>
          <w:b/>
          <w:color w:val="0F63B0"/>
          <w:sz w:val="25"/>
        </w:rPr>
        <w:t>Entre las partes</w:t>
      </w:r>
    </w:p>
    <w:p>
      <w:pPr>
        <w:spacing w:after="120"/>
      </w:pPr>
      <w:r>
        <w:rPr>
          <w:b w:val="0"/>
          <w:color w:val="1A1A1A"/>
          <w:sz w:val="21"/>
        </w:rPr>
        <w:t>Por una parte, Nils Digital, en adelante "el Prestador"; y por la otra, Financiera Isthmus Capital, S.A., en adelante "el Cliente". Ambas partes acuerdan celebrar el presente Acuerdo de Prestación de Servicios, conforme a los términos siguientes.</w:t>
      </w:r>
    </w:p>
    <w:p>
      <w:pPr>
        <w:spacing w:before="200" w:after="80"/>
      </w:pPr>
      <w:r>
        <w:rPr>
          <w:b/>
          <w:color w:val="0F63B0"/>
          <w:sz w:val="25"/>
        </w:rPr>
        <w:t>1. Objeto</w:t>
      </w:r>
    </w:p>
    <w:p>
      <w:pPr>
        <w:spacing w:after="120"/>
      </w:pPr>
      <w:r>
        <w:rPr>
          <w:b w:val="0"/>
          <w:color w:val="1A1A1A"/>
          <w:sz w:val="21"/>
        </w:rPr>
        <w:t>El Prestador desarrollará e implementará un sistema que automatiza el armado, la validación y la generación de los contratos de financiamiento del Cliente. El operador sube los documentos del expediente (cédula, registro vehicular, avalúo, seguros, proforma, recibos); la inteligencia artificial los lee, extrae los datos, valida que coincidan entre sí y genera los contratos listos para firmar.</w:t>
      </w:r>
    </w:p>
    <w:p>
      <w:pPr>
        <w:spacing w:before="200" w:after="80"/>
      </w:pPr>
      <w:r>
        <w:rPr>
          <w:b/>
          <w:color w:val="0F63B0"/>
          <w:sz w:val="25"/>
        </w:rPr>
        <w:t>2. Alcance del sistema</w:t>
      </w:r>
    </w:p>
    <w:p>
      <w:pPr>
        <w:pStyle w:val="ListBullet"/>
        <w:spacing w:after="40"/>
      </w:pPr>
      <w:r>
        <w:rPr>
          <w:sz w:val="21"/>
        </w:rPr>
        <w:t>Lectura con inteligencia artificial de los documentos del expediente, incluyendo fotos de baja calidad.</w:t>
      </w:r>
    </w:p>
    <w:p>
      <w:pPr>
        <w:pStyle w:val="ListBullet"/>
        <w:spacing w:after="40"/>
      </w:pPr>
      <w:r>
        <w:rPr>
          <w:sz w:val="21"/>
        </w:rPr>
        <w:t>Llenado automático del expediente con los datos extraídos (alrededor de 50 campos).</w:t>
      </w:r>
    </w:p>
    <w:p>
      <w:pPr>
        <w:pStyle w:val="ListBullet"/>
        <w:spacing w:after="40"/>
      </w:pPr>
      <w:r>
        <w:rPr>
          <w:sz w:val="21"/>
        </w:rPr>
        <w:t>Motor de validación cruzada según las reglas del Cliente (coincidencia de placa, motor y VIN entre documentos; cédula del comprador en los seguros y la solicitud; suma de recibos de abono; entre otras).</w:t>
      </w:r>
    </w:p>
    <w:p>
      <w:pPr>
        <w:pStyle w:val="ListBullet"/>
        <w:spacing w:after="40"/>
      </w:pPr>
      <w:r>
        <w:rPr>
          <w:sz w:val="21"/>
        </w:rPr>
        <w:t>Generación automática de los contratos a partir de las plantillas del Cliente.</w:t>
      </w:r>
    </w:p>
    <w:p>
      <w:pPr>
        <w:pStyle w:val="ListBullet"/>
        <w:spacing w:after="40"/>
      </w:pPr>
      <w:r>
        <w:rPr>
          <w:sz w:val="21"/>
        </w:rPr>
        <w:t>Integración con el flujo de firma y archivo digital.</w:t>
      </w:r>
    </w:p>
    <w:p>
      <w:pPr>
        <w:pStyle w:val="ListBullet"/>
        <w:spacing w:after="40"/>
      </w:pPr>
      <w:r>
        <w:rPr>
          <w:sz w:val="21"/>
        </w:rPr>
        <w:t>Pantalla de revisión para el operador, con semáforo de validación, edición de valores y vista del documento completo.</w:t>
      </w:r>
    </w:p>
    <w:p>
      <w:pPr>
        <w:pStyle w:val="ListBullet"/>
        <w:spacing w:after="40"/>
      </w:pPr>
      <w:r>
        <w:rPr>
          <w:sz w:val="21"/>
        </w:rPr>
        <w:t>Capacitación de uso y documentación de operación.</w:t>
      </w:r>
    </w:p>
    <w:p>
      <w:pPr>
        <w:spacing w:before="200" w:after="80"/>
      </w:pPr>
      <w:r>
        <w:rPr>
          <w:b/>
          <w:color w:val="0F63B0"/>
          <w:sz w:val="25"/>
        </w:rPr>
        <w:t>3. Insumos a cargo del Cliente</w:t>
      </w:r>
    </w:p>
    <w:p>
      <w:pPr>
        <w:spacing w:after="120"/>
      </w:pPr>
      <w:r>
        <w:rPr>
          <w:b w:val="0"/>
          <w:color w:val="1A1A1A"/>
          <w:sz w:val="21"/>
        </w:rPr>
        <w:t>Para iniciar, el Cliente entrega: el documento con las reglas de validación completas, las plantillas de los contratos con un ejemplo lleno de cada uno, y un set de documentos reales para prueba y entrenamiento. Estos insumos definen el alcance y son el punto de partida del proyecto. Las partes acuerdan el margen de error esperado del sistema, que sirve como criterio de aceptación.</w:t>
      </w:r>
    </w:p>
    <w:p>
      <w:pPr>
        <w:spacing w:before="200" w:after="80"/>
      </w:pPr>
      <w:r>
        <w:rPr>
          <w:b/>
          <w:color w:val="0F63B0"/>
          <w:sz w:val="25"/>
        </w:rPr>
        <w:t>4. Inversión</w:t>
      </w:r>
    </w:p>
    <w:p>
      <w:pPr>
        <w:spacing w:after="40"/>
      </w:pPr>
      <w:r>
        <w:rPr>
          <w:b/>
          <w:color w:val="1A1A1A"/>
          <w:sz w:val="21"/>
        </w:rPr>
        <w:t>Compra llave en mano: USD 9,000.00 (pago único), más 7% de ITBMS. El Cliente queda como propietario del sistema, con el código fuente y la propiedad intelectual en su poder.</w:t>
      </w:r>
    </w:p>
    <w:p>
      <w:pPr>
        <w:spacing w:before="200" w:after="80"/>
      </w:pPr>
      <w:r>
        <w:rPr>
          <w:b/>
          <w:color w:val="0F63B0"/>
          <w:sz w:val="25"/>
        </w:rPr>
        <w:t>5. Compra llave en mano (el Cliente es dueño)</w:t>
      </w:r>
    </w:p>
    <w:p>
      <w:pPr>
        <w:spacing w:after="120"/>
      </w:pPr>
      <w:r>
        <w:rPr>
          <w:b w:val="0"/>
          <w:color w:val="1A1A1A"/>
          <w:sz w:val="21"/>
        </w:rPr>
        <w:t>Precio: USD 9,000.00 como pago único, más 7% de ITBMS. Forma de pago: 50% de anticipo al comenzar (Fase 1) y 50% contra la entrega del código fuente y la capacitación. El Cliente queda como propietario del sistema, con el código fuente en su poder, y lo administra.</w:t>
      </w:r>
    </w:p>
    <w:p>
      <w:pPr>
        <w:spacing w:after="40"/>
      </w:pPr>
      <w:r>
        <w:rPr>
          <w:b/>
          <w:color w:val="1A1A1A"/>
          <w:sz w:val="21"/>
        </w:rPr>
        <w:t>Incluye:</w:t>
      </w:r>
    </w:p>
    <w:p>
      <w:pPr>
        <w:pStyle w:val="ListBullet"/>
        <w:spacing w:after="40"/>
      </w:pPr>
      <w:r>
        <w:rPr>
          <w:sz w:val="21"/>
        </w:rPr>
        <w:t>Construcción completa del sistema descrito en la cláusula 2.</w:t>
      </w:r>
    </w:p>
    <w:p>
      <w:pPr>
        <w:pStyle w:val="ListBullet"/>
        <w:spacing w:after="40"/>
      </w:pPr>
      <w:r>
        <w:rPr>
          <w:sz w:val="21"/>
        </w:rPr>
        <w:t>Entrega del código fuente y la propiedad intelectual.</w:t>
      </w:r>
    </w:p>
    <w:p>
      <w:pPr>
        <w:pStyle w:val="ListBullet"/>
        <w:spacing w:after="40"/>
      </w:pPr>
      <w:r>
        <w:rPr>
          <w:sz w:val="21"/>
        </w:rPr>
        <w:t>Configuración y entrega de n8n.</w:t>
      </w:r>
    </w:p>
    <w:p>
      <w:pPr>
        <w:pStyle w:val="ListBullet"/>
        <w:spacing w:after="40"/>
      </w:pPr>
      <w:r>
        <w:rPr>
          <w:sz w:val="21"/>
        </w:rPr>
        <w:t>Capacitación y documentación de operación.</w:t>
      </w:r>
    </w:p>
    <w:p>
      <w:pPr>
        <w:pStyle w:val="ListBullet"/>
        <w:spacing w:after="40"/>
      </w:pPr>
      <w:r>
        <w:rPr>
          <w:sz w:val="21"/>
        </w:rPr>
        <w:t>Garantía de 30 días para corrección de fallas tras la entrega.</w:t>
      </w:r>
    </w:p>
    <w:p>
      <w:pPr>
        <w:pStyle w:val="ListBullet"/>
      </w:pPr>
      <w:r>
        <w:t>Garantía de aceptación: el sistema se considera entregado únicamente cuando alcanza el margen de error acordado en la Fase 1; si no lo cumple, el Prestador sigue trabajando sin costo adicional hasta que lo cumpla.</w:t>
      </w:r>
    </w:p>
    <w:p>
      <w:pPr>
        <w:spacing w:after="40"/>
      </w:pPr>
      <w:r>
        <w:rPr>
          <w:b/>
          <w:color w:val="1A1A1A"/>
          <w:sz w:val="21"/>
        </w:rPr>
        <w:t>No incluye:</w:t>
      </w:r>
    </w:p>
    <w:p>
      <w:pPr>
        <w:pStyle w:val="ListBullet"/>
        <w:spacing w:after="40"/>
      </w:pPr>
      <w:r>
        <w:rPr>
          <w:sz w:val="21"/>
        </w:rPr>
        <w:t>Las cuentas y los costos de infraestructura (Supabase, n8n, hosting) y el consumo de la API de IA, que corren por cuenta del Cliente.</w:t>
      </w:r>
    </w:p>
    <w:p>
      <w:pPr>
        <w:pStyle w:val="ListBullet"/>
        <w:spacing w:after="40"/>
      </w:pPr>
      <w:r>
        <w:rPr>
          <w:sz w:val="21"/>
        </w:rPr>
        <w:t>Mantenimiento después de la garantía. Si cambia un formato oficial y hay que reajustar el sistema, se cotiza aparte.</w:t>
      </w:r>
    </w:p>
    <w:p>
      <w:pPr>
        <w:pStyle w:val="ListBullet"/>
        <w:spacing w:after="40"/>
      </w:pPr>
      <w:r>
        <w:rPr>
          <w:sz w:val="21"/>
        </w:rPr>
        <w:t>Nuevos contratos, nuevos flujos o adaptaciones fuera del alcance acordado, que se cotizan aparte.</w:t>
      </w:r>
    </w:p>
    <w:p>
      <w:pPr>
        <w:pStyle w:val="ListBullet"/>
        <w:spacing w:after="40"/>
      </w:pPr>
      <w:r>
        <w:rPr>
          <w:sz w:val="21"/>
        </w:rPr>
        <w:t>Soporte continuo después de la garantía.</w:t>
      </w:r>
    </w:p>
    <w:p>
      <w:pPr>
        <w:spacing w:before="200" w:after="80"/>
      </w:pPr>
      <w:r>
        <w:rPr>
          <w:b/>
          <w:color w:val="0F63B0"/>
          <w:sz w:val="25"/>
        </w:rPr>
        <w:t>6. Tiempo de entrega</w:t>
      </w:r>
    </w:p>
    <w:p>
      <w:pPr>
        <w:spacing w:after="120"/>
      </w:pPr>
      <w:r>
        <w:rPr>
          <w:b w:val="0"/>
          <w:color w:val="1A1A1A"/>
          <w:sz w:val="21"/>
        </w:rPr>
        <w:t>El tiempo estimado de desarrollo es de alrededor de 6 a 8 semanas (unos 2 meses), contadas a partir de la entrega de los insumos de la Fase 1 (reglas, plantillas y documentos de prueba).</w:t>
      </w:r>
    </w:p>
    <w:p>
      <w:pPr>
        <w:spacing w:before="200" w:after="80"/>
      </w:pPr>
      <w:r>
        <w:rPr>
          <w:b/>
          <w:color w:val="0F63B0"/>
          <w:sz w:val="25"/>
        </w:rPr>
        <w:t>7. Confidencialidad y manejo de datos</w:t>
      </w:r>
    </w:p>
    <w:p>
      <w:pPr>
        <w:spacing w:after="120"/>
      </w:pPr>
      <w:r>
        <w:rPr>
          <w:b w:val="0"/>
          <w:color w:val="1A1A1A"/>
          <w:sz w:val="21"/>
        </w:rPr>
        <w:t>Los documentos y datos de los clientes del Cliente (cédulas, información financiera y expedientes) se manejan de forma estrictamente confidencial y se utilizan únicamente para los fines de este proyecto. Todo se aloja en cuentas propias del Cliente, bajo su control. En ningún caso se comparten con terceros sin la autorización por escrito del Cliente.</w:t>
      </w:r>
    </w:p>
    <w:p>
      <w:pPr>
        <w:spacing w:before="200" w:after="80"/>
      </w:pPr>
      <w:r>
        <w:rPr>
          <w:b/>
          <w:color w:val="0F63B0"/>
          <w:sz w:val="25"/>
        </w:rPr>
        <w:t>8. Garantía</w:t>
      </w:r>
    </w:p>
    <w:p>
      <w:pPr>
        <w:spacing w:after="120"/>
      </w:pPr>
      <w:r>
        <w:rPr>
          <w:b w:val="0"/>
          <w:color w:val="1A1A1A"/>
          <w:sz w:val="21"/>
        </w:rPr>
        <w:t>Garantía de aceptación: el sistema se considera entregado únicamente cuando alcanza el margen de error acordado en la Fase 1 (criterio de aceptación); si al terminar el desarrollo no lo cumple, el Prestador sigue trabajando sin costo adicional hasta que lo cumpla. Adicionalmente, el Prestador otorga una garantía de 30 días para la corrección de fallas a partir de la entrega. No hay soporte continuo después de la garantía; si el Cliente lo desea, se cotiza por separado.</w:t>
      </w:r>
    </w:p>
    <w:p>
      <w:pPr>
        <w:spacing w:before="200" w:after="80"/>
      </w:pPr>
      <w:r>
        <w:rPr>
          <w:b/>
          <w:color w:val="0F63B0"/>
          <w:sz w:val="25"/>
        </w:rPr>
        <w:t>9. Términos generales</w:t>
      </w:r>
    </w:p>
    <w:p>
      <w:pPr>
        <w:pStyle w:val="ListBullet"/>
        <w:spacing w:after="40"/>
      </w:pPr>
      <w:r>
        <w:rPr>
          <w:sz w:val="21"/>
        </w:rPr>
        <w:t>Los precios están expresados en dólares de los Estados Unidos de América. A todos los montos se les agrega el 7% de ITBMS.</w:t>
      </w:r>
    </w:p>
    <w:p>
      <w:pPr>
        <w:pStyle w:val="ListBullet"/>
        <w:spacing w:after="40"/>
      </w:pPr>
      <w:r>
        <w:rPr>
          <w:sz w:val="21"/>
        </w:rPr>
        <w:t>El desarrollo arranca una vez que el Cliente entrega las reglas de validación, las plantillas de contrato y los documentos de prueba.</w:t>
      </w:r>
    </w:p>
    <w:p>
      <w:pPr>
        <w:pStyle w:val="ListBullet"/>
        <w:spacing w:after="40"/>
      </w:pPr>
      <w:r>
        <w:rPr>
          <w:sz w:val="21"/>
        </w:rPr>
        <w:t>Cualquier nueva adaptación o ampliación de alcance se cotiza por separado.</w:t>
      </w:r>
    </w:p>
    <w:p>
      <w:pPr>
        <w:pStyle w:val="ListBullet"/>
        <w:spacing w:after="40"/>
      </w:pPr>
      <w:r>
        <w:rPr>
          <w:sz w:val="21"/>
        </w:rPr>
        <w:t>Este acuerdo se rige por las leyes de la República de Panamá.</w:t>
      </w:r>
    </w:p>
    <w:p>
      <w:pPr>
        <w:spacing w:before="280" w:after="80"/>
      </w:pPr>
      <w:r>
        <w:rPr>
          <w:b/>
          <w:color w:val="0F63B0"/>
          <w:sz w:val="25"/>
        </w:rPr>
        <w:t>Aceptación y firmas</w:t>
      </w:r>
    </w:p>
    <w:p>
      <w:pPr>
        <w:spacing w:after="280"/>
      </w:pPr>
      <w:r>
        <w:rPr>
          <w:b w:val="0"/>
          <w:color w:val="1A1A1A"/>
          <w:sz w:val="21"/>
        </w:rPr>
        <w:t>Lugar y fecha: _______________________________________________</w:t>
      </w:r>
    </w:p>
    <w:p>
      <w:pPr>
        <w:spacing w:after="200"/>
      </w:pPr>
      <w:r>
        <w:rPr>
          <w:b/>
          <w:color w:val="1A1A1A"/>
          <w:sz w:val="21"/>
        </w:rPr>
        <w:t>POR EL CLIENTE — Financiera Isthmus Capital, S.A.</w:t>
      </w:r>
    </w:p>
    <w:p>
      <w:pPr>
        <w:spacing w:after="240"/>
      </w:pPr>
      <w:r>
        <w:rPr>
          <w:b w:val="0"/>
          <w:color w:val="1A1A1A"/>
          <w:sz w:val="21"/>
        </w:rPr>
        <w:t>Nombre: ________________________________      Cargo: ________________________________</w:t>
      </w:r>
    </w:p>
    <w:p>
      <w:pPr>
        <w:spacing w:after="360"/>
      </w:pPr>
      <w:r>
        <w:rPr>
          <w:b w:val="0"/>
          <w:color w:val="1A1A1A"/>
          <w:sz w:val="21"/>
        </w:rPr>
        <w:t>Firma: ________________________________</w:t>
      </w:r>
    </w:p>
    <w:p>
      <w:pPr>
        <w:spacing w:after="200"/>
      </w:pPr>
      <w:r>
        <w:rPr>
          <w:b/>
          <w:color w:val="1A1A1A"/>
          <w:sz w:val="21"/>
        </w:rPr>
        <w:t>POR EL PRESTADOR — Nils Digital</w:t>
      </w:r>
    </w:p>
    <w:p>
      <w:pPr>
        <w:spacing w:after="240"/>
      </w:pPr>
      <w:r>
        <w:rPr>
          <w:b w:val="0"/>
          <w:color w:val="1A1A1A"/>
          <w:sz w:val="21"/>
        </w:rPr>
        <w:t>Nombre: Emilio Nils Arias</w:t>
      </w:r>
    </w:p>
    <w:p>
      <w:pPr>
        <w:spacing w:after="80"/>
      </w:pPr>
      <w:r>
        <w:rPr>
          <w:b w:val="0"/>
          <w:color w:val="1A1A1A"/>
          <w:sz w:val="21"/>
        </w:rPr>
        <w:t>Firma: 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