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061326"/>
            <w:tcMar>
              <w:top w:w="700" w:type="dxa"/>
              <w:start w:w="500" w:type="dxa"/>
              <w:bottom w:w="700" w:type="dxa"/>
              <w:end w:w="50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56000" cy="1091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p-lift-nigeria-horizontal-whi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1091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40" w:after="160" w:line="240" w:lineRule="auto"/>
              <w:jc w:val="center"/>
            </w:pPr>
            <w:r>
              <w:rPr>
                <w:rFonts w:ascii="Cormorant Garamond" w:hAnsi="Cormorant Garamond"/>
                <w:b/>
                <w:i w:val="0"/>
                <w:color w:val="FFFFFF"/>
                <w:sz w:val="58"/>
              </w:rPr>
              <w:t>QUOTATION</w:t>
              <w:br/>
              <w:t>&amp; PROJECT PROPOSAL</w:t>
            </w:r>
          </w:p>
          <w:p>
            <w:pPr>
              <w:spacing w:before="160" w:after="560" w:line="288" w:lineRule="auto"/>
              <w:jc w:val="center"/>
            </w:pPr>
            <w:r>
              <w:rPr>
                <w:rFonts w:ascii="Inter" w:hAnsi="Inter"/>
                <w:b/>
                <w:i w:val="0"/>
                <w:color w:val="D8D8D4"/>
                <w:sz w:val="26"/>
              </w:rPr>
              <w:t>Residential Lift Solution</w:t>
              <w:br/>
              <w:t>Meridian Court Residences, Lagos</w:t>
            </w:r>
          </w:p>
          <w:p>
            <w:pPr>
              <w:spacing w:before="360" w:after="80" w:line="288" w:lineRule="auto"/>
              <w:jc w:val="center"/>
            </w:pPr>
            <w:r>
              <w:rPr>
                <w:rFonts w:ascii="Montserrat" w:hAnsi="Montserrat"/>
                <w:b/>
                <w:i w:val="0"/>
                <w:color w:val="168A55"/>
                <w:sz w:val="17"/>
              </w:rPr>
              <w:t>REFERENCE  VLN-260609-01</w:t>
            </w:r>
          </w:p>
          <w:p>
            <w:pPr>
              <w:spacing w:before="0" w:after="0" w:line="288" w:lineRule="auto"/>
              <w:jc w:val="center"/>
            </w:pPr>
            <w:r>
              <w:rPr>
                <w:rFonts w:ascii="Inter" w:hAnsi="Inter"/>
                <w:b w:val="0"/>
                <w:i w:val="0"/>
                <w:color w:val="C9C7BF"/>
                <w:sz w:val="19"/>
              </w:rPr>
              <w:t>Issued 9 June 2026  •  Valid for 30 days</w:t>
            </w:r>
          </w:p>
        </w:tc>
      </w:tr>
    </w:tbl>
    <w:p>
      <w:pPr>
        <w:spacing w:before="280" w:after="0" w:line="288" w:lineRule="auto"/>
        <w:jc w:val="center"/>
      </w:pPr>
      <w:r>
        <w:rPr>
          <w:rFonts w:ascii="Inter" w:hAnsi="Inter"/>
          <w:b w:val="0"/>
          <w:i/>
          <w:color w:val="A8ADB3"/>
          <w:sz w:val="17"/>
        </w:rPr>
        <w:t>Prepared as an editable sample proposal. Replace commercial values, contacts and project-specific technical information before issue.</w:t>
      </w:r>
    </w:p>
    <w:p>
      <w:r>
        <w:br w:type="page"/>
      </w:r>
    </w:p>
    <w:p>
      <w:pPr>
        <w:spacing w:before="0" w:after="60" w:line="288" w:lineRule="auto"/>
      </w:pPr>
      <w:r>
        <w:rPr>
          <w:rFonts w:ascii="Montserrat" w:hAnsi="Montserrat"/>
          <w:b/>
          <w:i w:val="0"/>
          <w:color w:val="0F5F3C"/>
          <w:sz w:val="17"/>
        </w:rPr>
        <w:t>PROJECT SUMMARY</w:t>
      </w:r>
    </w:p>
    <w:p>
      <w:pPr>
        <w:pStyle w:val="Heading1"/>
        <w:spacing w:before="0" w:after="200" w:line="252" w:lineRule="auto"/>
      </w:pPr>
      <w:r>
        <w:rPr>
          <w:rFonts w:ascii="Cormorant Garamond" w:hAnsi="Cormorant Garamond"/>
          <w:b/>
          <w:i w:val="0"/>
          <w:color w:val="061326"/>
          <w:sz w:val="48"/>
        </w:rPr>
        <w:t>A residential lift solution shaped around the building.</w:t>
      </w:r>
    </w:p>
    <w:p>
      <w:pPr>
        <w:spacing w:before="0" w:after="280" w:line="324" w:lineRule="auto"/>
      </w:pPr>
      <w:r>
        <w:rPr>
          <w:rFonts w:ascii="Inter" w:hAnsi="Inter"/>
          <w:b w:val="0"/>
          <w:i w:val="0"/>
          <w:color w:val="111418"/>
          <w:sz w:val="22"/>
        </w:rPr>
        <w:t>VIP Lift Nigeria proposes a coordinated lift-solution package for Meridian Court Residences. The sample scope is structured to support design review, supply, installation, commissioning and ongoing care.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64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3" w:color="E9EEEC"/>
            </w:tcBorders>
            <w:shd w:fill="E9EEEC"/>
          </w:tcPr>
          <w:p>
            <w:r>
              <w:rPr>
                <w:rFonts w:ascii="Montserrat" w:hAnsi="Montserrat"/>
                <w:b/>
                <w:i w:val="0"/>
                <w:color w:val="0F5F3C"/>
                <w:sz w:val="15"/>
              </w:rPr>
              <w:t>CLIENT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3" w:color="E9EEEC"/>
            </w:tcBorders>
          </w:tcPr>
          <w:p>
            <w:r>
              <w:rPr>
                <w:rFonts w:ascii="Inter" w:hAnsi="Inter"/>
                <w:b w:val="0"/>
                <w:i w:val="0"/>
                <w:color w:val="111418"/>
                <w:sz w:val="19"/>
              </w:rPr>
              <w:t>Meridian Court Developments</w:t>
            </w:r>
          </w:p>
        </w:tc>
        <w:tc>
          <w:tcPr>
            <w:tcW w:type="dxa" w:w="164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3" w:color="E9EEEC"/>
            </w:tcBorders>
            <w:shd w:fill="E9EEEC"/>
          </w:tcPr>
          <w:p>
            <w:r>
              <w:rPr>
                <w:rFonts w:ascii="Montserrat" w:hAnsi="Montserrat"/>
                <w:b/>
                <w:i w:val="0"/>
                <w:color w:val="0F5F3C"/>
                <w:sz w:val="15"/>
              </w:rPr>
              <w:t>LIFT TYPE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3" w:color="E9EEEC"/>
            </w:tcBorders>
          </w:tcPr>
          <w:p>
            <w:r>
              <w:rPr>
                <w:rFonts w:ascii="Inter" w:hAnsi="Inter"/>
                <w:b w:val="0"/>
                <w:i w:val="0"/>
                <w:color w:val="111418"/>
                <w:sz w:val="19"/>
              </w:rPr>
              <w:t>Residential platform lift</w:t>
            </w:r>
          </w:p>
        </w:tc>
      </w:tr>
      <w:tr>
        <w:tc>
          <w:tcPr>
            <w:tcW w:type="dxa" w:w="164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3" w:color="E9EEEC"/>
            </w:tcBorders>
            <w:shd w:fill="E9EEEC"/>
          </w:tcPr>
          <w:p>
            <w:r>
              <w:rPr>
                <w:rFonts w:ascii="Montserrat" w:hAnsi="Montserrat"/>
                <w:b/>
                <w:i w:val="0"/>
                <w:color w:val="0F5F3C"/>
                <w:sz w:val="15"/>
              </w:rPr>
              <w:t>PROJECT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3" w:color="E9EEEC"/>
            </w:tcBorders>
          </w:tcPr>
          <w:p>
            <w:r>
              <w:rPr>
                <w:rFonts w:ascii="Inter" w:hAnsi="Inter"/>
                <w:b w:val="0"/>
                <w:i w:val="0"/>
                <w:color w:val="111418"/>
                <w:sz w:val="19"/>
              </w:rPr>
              <w:t>Meridian Court Residences</w:t>
            </w:r>
          </w:p>
        </w:tc>
        <w:tc>
          <w:tcPr>
            <w:tcW w:type="dxa" w:w="164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3" w:color="E9EEEC"/>
            </w:tcBorders>
            <w:shd w:fill="E9EEEC"/>
          </w:tcPr>
          <w:p>
            <w:r>
              <w:rPr>
                <w:rFonts w:ascii="Montserrat" w:hAnsi="Montserrat"/>
                <w:b/>
                <w:i w:val="0"/>
                <w:color w:val="0F5F3C"/>
                <w:sz w:val="15"/>
              </w:rPr>
              <w:t>STOPS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3" w:color="E9EEEC"/>
            </w:tcBorders>
          </w:tcPr>
          <w:p>
            <w:r>
              <w:rPr>
                <w:rFonts w:ascii="Inter" w:hAnsi="Inter"/>
                <w:b w:val="0"/>
                <w:i w:val="0"/>
                <w:color w:val="111418"/>
                <w:sz w:val="19"/>
              </w:rPr>
              <w:t>Three</w:t>
            </w:r>
          </w:p>
        </w:tc>
      </w:tr>
      <w:tr>
        <w:tc>
          <w:tcPr>
            <w:tcW w:type="dxa" w:w="164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3" w:color="E9EEEC"/>
            </w:tcBorders>
            <w:shd w:fill="E9EEEC"/>
          </w:tcPr>
          <w:p>
            <w:r>
              <w:rPr>
                <w:rFonts w:ascii="Montserrat" w:hAnsi="Montserrat"/>
                <w:b/>
                <w:i w:val="0"/>
                <w:color w:val="0F5F3C"/>
                <w:sz w:val="15"/>
              </w:rPr>
              <w:t>SITE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3" w:color="E9EEEC"/>
            </w:tcBorders>
          </w:tcPr>
          <w:p>
            <w:r>
              <w:rPr>
                <w:rFonts w:ascii="Inter" w:hAnsi="Inter"/>
                <w:b w:val="0"/>
                <w:i w:val="0"/>
                <w:color w:val="111418"/>
                <w:sz w:val="19"/>
              </w:rPr>
              <w:t>Victoria Island, Lagos</w:t>
            </w:r>
          </w:p>
        </w:tc>
        <w:tc>
          <w:tcPr>
            <w:tcW w:type="dxa" w:w="164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3" w:color="E9EEEC"/>
            </w:tcBorders>
            <w:shd w:fill="E9EEEC"/>
          </w:tcPr>
          <w:p>
            <w:r>
              <w:rPr>
                <w:rFonts w:ascii="Montserrat" w:hAnsi="Montserrat"/>
                <w:b/>
                <w:i w:val="0"/>
                <w:color w:val="0F5F3C"/>
                <w:sz w:val="15"/>
              </w:rPr>
              <w:t>QUANTITY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3" w:color="E9EEEC"/>
            </w:tcBorders>
          </w:tcPr>
          <w:p>
            <w:r>
              <w:rPr>
                <w:rFonts w:ascii="Inter" w:hAnsi="Inter"/>
                <w:b w:val="0"/>
                <w:i w:val="0"/>
                <w:color w:val="111418"/>
                <w:sz w:val="19"/>
              </w:rPr>
              <w:t>One</w:t>
            </w:r>
          </w:p>
        </w:tc>
      </w:tr>
      <w:tr>
        <w:tc>
          <w:tcPr>
            <w:tcW w:type="dxa" w:w="164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3" w:color="E9EEEC"/>
            </w:tcBorders>
            <w:shd w:fill="E9EEEC"/>
          </w:tcPr>
          <w:p>
            <w:r>
              <w:rPr>
                <w:rFonts w:ascii="Montserrat" w:hAnsi="Montserrat"/>
                <w:b/>
                <w:i w:val="0"/>
                <w:color w:val="0F5F3C"/>
                <w:sz w:val="15"/>
              </w:rPr>
              <w:t>BUILDING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3" w:color="E9EEEC"/>
            </w:tcBorders>
          </w:tcPr>
          <w:p>
            <w:r>
              <w:rPr>
                <w:rFonts w:ascii="Inter" w:hAnsi="Inter"/>
                <w:b w:val="0"/>
                <w:i w:val="0"/>
                <w:color w:val="111418"/>
                <w:sz w:val="19"/>
              </w:rPr>
              <w:t>Private residential duplex</w:t>
            </w:r>
          </w:p>
        </w:tc>
        <w:tc>
          <w:tcPr>
            <w:tcW w:type="dxa" w:w="1644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3" w:color="E9EEEC"/>
            </w:tcBorders>
            <w:shd w:fill="E9EEEC"/>
          </w:tcPr>
          <w:p>
            <w:r>
              <w:rPr>
                <w:rFonts w:ascii="Montserrat" w:hAnsi="Montserrat"/>
                <w:b/>
                <w:i w:val="0"/>
                <w:color w:val="0F5F3C"/>
                <w:sz w:val="15"/>
              </w:rPr>
              <w:t>CAPACITY</w:t>
            </w:r>
          </w:p>
        </w:tc>
        <w:tc>
          <w:tcPr>
            <w:tcW w:type="dxa" w:w="3175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3" w:color="E9EEEC"/>
            </w:tcBorders>
          </w:tcPr>
          <w:p>
            <w:r>
              <w:rPr>
                <w:rFonts w:ascii="Inter" w:hAnsi="Inter"/>
                <w:b w:val="0"/>
                <w:i w:val="0"/>
                <w:color w:val="111418"/>
                <w:sz w:val="19"/>
              </w:rPr>
              <w:t>Up to 400 kg, subject to final selection</w:t>
            </w:r>
          </w:p>
        </w:tc>
      </w:tr>
    </w:tbl>
    <w:p>
      <w:pPr>
        <w:pStyle w:val="Heading2"/>
        <w:spacing w:before="360" w:after="120" w:line="252" w:lineRule="auto"/>
      </w:pPr>
      <w:r>
        <w:rPr>
          <w:rFonts w:ascii="Cormorant Garamond" w:hAnsi="Cormorant Garamond"/>
          <w:b/>
          <w:i w:val="0"/>
          <w:color w:val="061326"/>
          <w:sz w:val="34"/>
        </w:rPr>
        <w:t>Project priorities</w:t>
      </w:r>
    </w:p>
    <w:p>
      <w:pPr>
        <w:pStyle w:val="ListBullet"/>
      </w:pPr>
      <w:r>
        <w:rPr>
          <w:rFonts w:ascii="Inter" w:hAnsi="Inter"/>
          <w:b w:val="0"/>
          <w:i w:val="0"/>
          <w:color w:val="111418"/>
          <w:sz w:val="20"/>
        </w:rPr>
        <w:t>A calm architectural integration suited to a premium residential interior.</w:t>
      </w:r>
    </w:p>
    <w:p>
      <w:pPr>
        <w:pStyle w:val="ListBullet"/>
      </w:pPr>
      <w:r>
        <w:rPr>
          <w:rFonts w:ascii="Inter" w:hAnsi="Inter"/>
          <w:b w:val="0"/>
          <w:i w:val="0"/>
          <w:color w:val="111418"/>
          <w:sz w:val="20"/>
        </w:rPr>
        <w:t>Safe, intuitive access for residents and guests across three levels.</w:t>
      </w:r>
    </w:p>
    <w:p>
      <w:pPr>
        <w:pStyle w:val="ListBullet"/>
      </w:pPr>
      <w:r>
        <w:rPr>
          <w:rFonts w:ascii="Inter" w:hAnsi="Inter"/>
          <w:b w:val="0"/>
          <w:i w:val="0"/>
          <w:color w:val="111418"/>
          <w:sz w:val="20"/>
        </w:rPr>
        <w:t>Clear coordination between lift requirements and the building programme.</w:t>
      </w:r>
    </w:p>
    <w:p>
      <w:pPr>
        <w:pStyle w:val="ListBullet"/>
      </w:pPr>
      <w:r>
        <w:rPr>
          <w:rFonts w:ascii="Inter" w:hAnsi="Inter"/>
          <w:b w:val="0"/>
          <w:i w:val="0"/>
          <w:color w:val="111418"/>
          <w:sz w:val="20"/>
        </w:rPr>
        <w:t>A practical maintenance and service pathway after commissioning.</w:t>
      </w:r>
    </w:p>
    <w:p>
      <w:pPr>
        <w:pStyle w:val="Heading2"/>
        <w:spacing w:before="280" w:after="120" w:line="252" w:lineRule="auto"/>
      </w:pPr>
      <w:r>
        <w:rPr>
          <w:rFonts w:ascii="Cormorant Garamond" w:hAnsi="Cormorant Garamond"/>
          <w:b/>
          <w:i w:val="0"/>
          <w:color w:val="061326"/>
          <w:sz w:val="34"/>
        </w:rPr>
        <w:t>Important basis</w:t>
      </w:r>
    </w:p>
    <w:p>
      <w:pPr>
        <w:spacing w:before="0" w:after="0" w:line="312" w:lineRule="auto"/>
      </w:pPr>
      <w:r>
        <w:rPr>
          <w:rFonts w:ascii="Inter" w:hAnsi="Inter"/>
          <w:b w:val="0"/>
          <w:i w:val="0"/>
          <w:color w:val="111418"/>
          <w:sz w:val="19"/>
        </w:rPr>
        <w:t>Final equipment, technical dimensions, finishes, power requirements, compliance information, programme and pricing remain subject to site verification, approved drawings and the selected lift system.</w:t>
      </w:r>
    </w:p>
    <w:p>
      <w:r>
        <w:br w:type="page"/>
      </w:r>
    </w:p>
    <w:p>
      <w:pPr>
        <w:spacing w:before="0" w:after="60" w:line="288" w:lineRule="auto"/>
      </w:pPr>
      <w:r>
        <w:rPr>
          <w:rFonts w:ascii="Montserrat" w:hAnsi="Montserrat"/>
          <w:b/>
          <w:i w:val="0"/>
          <w:color w:val="0F5F3C"/>
          <w:sz w:val="17"/>
        </w:rPr>
        <w:t>SCOPE OF WORK</w:t>
      </w:r>
    </w:p>
    <w:p>
      <w:pPr>
        <w:pStyle w:val="Heading1"/>
        <w:spacing w:before="0" w:after="200" w:line="252" w:lineRule="auto"/>
      </w:pPr>
      <w:r>
        <w:rPr>
          <w:rFonts w:ascii="Cormorant Garamond" w:hAnsi="Cormorant Garamond"/>
          <w:b/>
          <w:i w:val="0"/>
          <w:color w:val="061326"/>
          <w:sz w:val="48"/>
        </w:rPr>
        <w:t>A coordinated package from review to handover.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4819"/>
            <w:shd w:fill="061326"/>
            <w:tcMar>
              <w:top w:w="160" w:type="dxa"/>
              <w:start w:w="160" w:type="dxa"/>
              <w:bottom w:w="160" w:type="dxa"/>
              <w:end w:w="160" w:type="dxa"/>
            </w:tcMar>
            <w:tcBorders>
              <w:bottom w:val="single" w:sz="3" w:color="FFFFFF"/>
            </w:tcBorders>
          </w:tcPr>
          <w:p>
            <w:r>
              <w:rPr>
                <w:rFonts w:ascii="Cormorant Garamond" w:hAnsi="Cormorant Garamond"/>
                <w:b/>
                <w:i w:val="0"/>
                <w:color w:val="FFFFFF"/>
                <w:sz w:val="25"/>
              </w:rPr>
              <w:t>1. Site and requirement review</w:t>
            </w:r>
          </w:p>
        </w:tc>
        <w:tc>
          <w:tcPr>
            <w:tcW w:type="dxa" w:w="4819"/>
            <w:shd w:fill="F3F5F5"/>
            <w:tcMar>
              <w:top w:w="160" w:type="dxa"/>
              <w:start w:w="160" w:type="dxa"/>
              <w:bottom w:w="160" w:type="dxa"/>
              <w:end w:w="160" w:type="dxa"/>
            </w:tcMar>
            <w:tcBorders>
              <w:bottom w:val="single" w:sz="3" w:color="FFFFFF"/>
            </w:tcBorders>
          </w:tcPr>
          <w:p>
            <w:r>
              <w:rPr>
                <w:rFonts w:ascii="Inter" w:hAnsi="Inter"/>
                <w:b w:val="0"/>
                <w:i w:val="0"/>
                <w:color w:val="111418"/>
                <w:sz w:val="19"/>
              </w:rPr>
              <w:t>Review intended users, levels served, access conditions, available space, design intent and project programme.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4819"/>
            <w:shd w:fill="061326"/>
            <w:tcMar>
              <w:top w:w="160" w:type="dxa"/>
              <w:start w:w="160" w:type="dxa"/>
              <w:bottom w:w="160" w:type="dxa"/>
              <w:end w:w="160" w:type="dxa"/>
            </w:tcMar>
            <w:tcBorders>
              <w:bottom w:val="single" w:sz="3" w:color="FFFFFF"/>
            </w:tcBorders>
          </w:tcPr>
          <w:p>
            <w:r>
              <w:rPr>
                <w:rFonts w:ascii="Cormorant Garamond" w:hAnsi="Cormorant Garamond"/>
                <w:b/>
                <w:i w:val="0"/>
                <w:color w:val="FFFFFF"/>
                <w:sz w:val="25"/>
              </w:rPr>
              <w:t>2. System recommendation</w:t>
            </w:r>
          </w:p>
        </w:tc>
        <w:tc>
          <w:tcPr>
            <w:tcW w:type="dxa" w:w="4819"/>
            <w:shd w:fill="F3F5F5"/>
            <w:tcMar>
              <w:top w:w="160" w:type="dxa"/>
              <w:start w:w="160" w:type="dxa"/>
              <w:bottom w:w="160" w:type="dxa"/>
              <w:end w:w="160" w:type="dxa"/>
            </w:tcMar>
            <w:tcBorders>
              <w:bottom w:val="single" w:sz="3" w:color="FFFFFF"/>
            </w:tcBorders>
          </w:tcPr>
          <w:p>
            <w:r>
              <w:rPr>
                <w:rFonts w:ascii="Inter" w:hAnsi="Inter"/>
                <w:b w:val="0"/>
                <w:i w:val="0"/>
                <w:color w:val="111418"/>
                <w:sz w:val="19"/>
              </w:rPr>
              <w:t>Prepare a suitable lift direction and confirm key assumptions for client and consultant review.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4819"/>
            <w:shd w:fill="061326"/>
            <w:tcMar>
              <w:top w:w="160" w:type="dxa"/>
              <w:start w:w="160" w:type="dxa"/>
              <w:bottom w:w="160" w:type="dxa"/>
              <w:end w:w="160" w:type="dxa"/>
            </w:tcMar>
            <w:tcBorders>
              <w:bottom w:val="single" w:sz="3" w:color="FFFFFF"/>
            </w:tcBorders>
          </w:tcPr>
          <w:p>
            <w:r>
              <w:rPr>
                <w:rFonts w:ascii="Cormorant Garamond" w:hAnsi="Cormorant Garamond"/>
                <w:b/>
                <w:i w:val="0"/>
                <w:color w:val="FFFFFF"/>
                <w:sz w:val="25"/>
              </w:rPr>
              <w:t>3. Supply coordination</w:t>
            </w:r>
          </w:p>
        </w:tc>
        <w:tc>
          <w:tcPr>
            <w:tcW w:type="dxa" w:w="4819"/>
            <w:shd w:fill="F3F5F5"/>
            <w:tcMar>
              <w:top w:w="160" w:type="dxa"/>
              <w:start w:w="160" w:type="dxa"/>
              <w:bottom w:w="160" w:type="dxa"/>
              <w:end w:w="160" w:type="dxa"/>
            </w:tcMar>
            <w:tcBorders>
              <w:bottom w:val="single" w:sz="3" w:color="FFFFFF"/>
            </w:tcBorders>
          </w:tcPr>
          <w:p>
            <w:r>
              <w:rPr>
                <w:rFonts w:ascii="Inter" w:hAnsi="Inter"/>
                <w:b w:val="0"/>
                <w:i w:val="0"/>
                <w:color w:val="111418"/>
                <w:sz w:val="19"/>
              </w:rPr>
              <w:t>Coordinate selected equipment, approved finish information, delivery requirements and project documentation.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4819"/>
            <w:shd w:fill="061326"/>
            <w:tcMar>
              <w:top w:w="160" w:type="dxa"/>
              <w:start w:w="160" w:type="dxa"/>
              <w:bottom w:w="160" w:type="dxa"/>
              <w:end w:w="160" w:type="dxa"/>
            </w:tcMar>
            <w:tcBorders>
              <w:bottom w:val="single" w:sz="3" w:color="FFFFFF"/>
            </w:tcBorders>
          </w:tcPr>
          <w:p>
            <w:r>
              <w:rPr>
                <w:rFonts w:ascii="Cormorant Garamond" w:hAnsi="Cormorant Garamond"/>
                <w:b/>
                <w:i w:val="0"/>
                <w:color w:val="FFFFFF"/>
                <w:sz w:val="25"/>
              </w:rPr>
              <w:t>4. Installation</w:t>
            </w:r>
          </w:p>
        </w:tc>
        <w:tc>
          <w:tcPr>
            <w:tcW w:type="dxa" w:w="4819"/>
            <w:shd w:fill="F3F5F5"/>
            <w:tcMar>
              <w:top w:w="160" w:type="dxa"/>
              <w:start w:w="160" w:type="dxa"/>
              <w:bottom w:w="160" w:type="dxa"/>
              <w:end w:w="160" w:type="dxa"/>
            </w:tcMar>
            <w:tcBorders>
              <w:bottom w:val="single" w:sz="3" w:color="FFFFFF"/>
            </w:tcBorders>
          </w:tcPr>
          <w:p>
            <w:r>
              <w:rPr>
                <w:rFonts w:ascii="Inter" w:hAnsi="Inter"/>
                <w:b w:val="0"/>
                <w:i w:val="0"/>
                <w:color w:val="111418"/>
                <w:sz w:val="19"/>
              </w:rPr>
              <w:t>Install the lift system in accordance with the approved scope and coordinated site readiness requirements.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4819"/>
            <w:shd w:fill="061326"/>
            <w:tcMar>
              <w:top w:w="160" w:type="dxa"/>
              <w:start w:w="160" w:type="dxa"/>
              <w:bottom w:w="160" w:type="dxa"/>
              <w:end w:w="160" w:type="dxa"/>
            </w:tcMar>
            <w:tcBorders>
              <w:bottom w:val="single" w:sz="3" w:color="FFFFFF"/>
            </w:tcBorders>
          </w:tcPr>
          <w:p>
            <w:r>
              <w:rPr>
                <w:rFonts w:ascii="Cormorant Garamond" w:hAnsi="Cormorant Garamond"/>
                <w:b/>
                <w:i w:val="0"/>
                <w:color w:val="FFFFFF"/>
                <w:sz w:val="25"/>
              </w:rPr>
              <w:t>5. Testing and commissioning</w:t>
            </w:r>
          </w:p>
        </w:tc>
        <w:tc>
          <w:tcPr>
            <w:tcW w:type="dxa" w:w="4819"/>
            <w:shd w:fill="F3F5F5"/>
            <w:tcMar>
              <w:top w:w="160" w:type="dxa"/>
              <w:start w:w="160" w:type="dxa"/>
              <w:bottom w:w="160" w:type="dxa"/>
              <w:end w:w="160" w:type="dxa"/>
            </w:tcMar>
            <w:tcBorders>
              <w:bottom w:val="single" w:sz="3" w:color="FFFFFF"/>
            </w:tcBorders>
          </w:tcPr>
          <w:p>
            <w:r>
              <w:rPr>
                <w:rFonts w:ascii="Inter" w:hAnsi="Inter"/>
                <w:b w:val="0"/>
                <w:i w:val="0"/>
                <w:color w:val="111418"/>
                <w:sz w:val="19"/>
              </w:rPr>
              <w:t>Complete operational checks, commissioning activities and user handover for the agreed system.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4819"/>
            <w:shd w:fill="061326"/>
            <w:tcMar>
              <w:top w:w="160" w:type="dxa"/>
              <w:start w:w="160" w:type="dxa"/>
              <w:bottom w:w="160" w:type="dxa"/>
              <w:end w:w="160" w:type="dxa"/>
            </w:tcMar>
            <w:tcBorders>
              <w:bottom w:val="single" w:sz="3" w:color="FFFFFF"/>
            </w:tcBorders>
          </w:tcPr>
          <w:p>
            <w:r>
              <w:rPr>
                <w:rFonts w:ascii="Cormorant Garamond" w:hAnsi="Cormorant Garamond"/>
                <w:b/>
                <w:i w:val="0"/>
                <w:color w:val="FFFFFF"/>
                <w:sz w:val="25"/>
              </w:rPr>
              <w:t>6. Service transition</w:t>
            </w:r>
          </w:p>
        </w:tc>
        <w:tc>
          <w:tcPr>
            <w:tcW w:type="dxa" w:w="4819"/>
            <w:shd w:fill="F3F5F5"/>
            <w:tcMar>
              <w:top w:w="160" w:type="dxa"/>
              <w:start w:w="160" w:type="dxa"/>
              <w:bottom w:w="160" w:type="dxa"/>
              <w:end w:w="160" w:type="dxa"/>
            </w:tcMar>
            <w:tcBorders>
              <w:bottom w:val="single" w:sz="3" w:color="FFFFFF"/>
            </w:tcBorders>
          </w:tcPr>
          <w:p>
            <w:r>
              <w:rPr>
                <w:rFonts w:ascii="Inter" w:hAnsi="Inter"/>
                <w:b w:val="0"/>
                <w:i w:val="0"/>
                <w:color w:val="111418"/>
                <w:sz w:val="19"/>
              </w:rPr>
              <w:t>Confirm warranty administration, maintenance scope, service contacts and the planned support pathway.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0" w:after="60" w:line="288" w:lineRule="auto"/>
      </w:pPr>
      <w:r>
        <w:rPr>
          <w:rFonts w:ascii="Montserrat" w:hAnsi="Montserrat"/>
          <w:b/>
          <w:i w:val="0"/>
          <w:color w:val="0F5F3C"/>
          <w:sz w:val="17"/>
        </w:rPr>
        <w:t>COMMERCIAL SUMMARY</w:t>
      </w:r>
    </w:p>
    <w:p>
      <w:pPr>
        <w:pStyle w:val="Heading1"/>
        <w:spacing w:before="0" w:after="120" w:line="252" w:lineRule="auto"/>
      </w:pPr>
      <w:r>
        <w:rPr>
          <w:rFonts w:ascii="Cormorant Garamond" w:hAnsi="Cormorant Garamond"/>
          <w:b/>
          <w:i w:val="0"/>
          <w:color w:val="061326"/>
          <w:sz w:val="48"/>
        </w:rPr>
        <w:t>Sample quotation</w:t>
      </w:r>
    </w:p>
    <w:p>
      <w:pPr>
        <w:spacing w:before="0" w:after="200" w:line="288" w:lineRule="auto"/>
      </w:pPr>
      <w:r>
        <w:rPr>
          <w:rFonts w:ascii="Inter" w:hAnsi="Inter"/>
          <w:b w:val="0"/>
          <w:i/>
          <w:color w:val="A8ADB3"/>
          <w:sz w:val="17"/>
        </w:rPr>
        <w:t>Currency: Nigerian naira (NGN). Figures below are editable sample values for template demonstration.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567"/>
            <w:shd w:fill="061326"/>
            <w:tcMar>
              <w:top w:w="130" w:type="dxa"/>
              <w:start w:w="100" w:type="dxa"/>
              <w:bottom w:w="130" w:type="dxa"/>
              <w:end w:w="100" w:type="dxa"/>
            </w:tcMar>
          </w:tcPr>
          <w:p>
            <w:pPr>
              <w:jc w:val="center"/>
            </w:pPr>
            <w:r>
              <w:rPr>
                <w:rFonts w:ascii="Montserrat" w:hAnsi="Montserrat"/>
                <w:b/>
                <w:i w:val="0"/>
                <w:color w:val="FFFFFF"/>
                <w:sz w:val="16"/>
              </w:rPr>
              <w:t>No.</w:t>
            </w:r>
          </w:p>
        </w:tc>
        <w:tc>
          <w:tcPr>
            <w:tcW w:type="dxa" w:w="4535"/>
            <w:shd w:fill="061326"/>
            <w:tcMar>
              <w:top w:w="130" w:type="dxa"/>
              <w:start w:w="100" w:type="dxa"/>
              <w:bottom w:w="130" w:type="dxa"/>
              <w:end w:w="100" w:type="dxa"/>
            </w:tcMar>
          </w:tcPr>
          <w:p>
            <w:pPr>
              <w:jc w:val="left"/>
            </w:pPr>
            <w:r>
              <w:rPr>
                <w:rFonts w:ascii="Montserrat" w:hAnsi="Montserrat"/>
                <w:b/>
                <w:i w:val="0"/>
                <w:color w:val="FFFFFF"/>
                <w:sz w:val="16"/>
              </w:rPr>
              <w:t>Description</w:t>
            </w:r>
          </w:p>
        </w:tc>
        <w:tc>
          <w:tcPr>
            <w:tcW w:type="dxa" w:w="1020"/>
            <w:shd w:fill="061326"/>
            <w:tcMar>
              <w:top w:w="130" w:type="dxa"/>
              <w:start w:w="100" w:type="dxa"/>
              <w:bottom w:w="130" w:type="dxa"/>
              <w:end w:w="100" w:type="dxa"/>
            </w:tcMar>
          </w:tcPr>
          <w:p>
            <w:pPr>
              <w:jc w:val="center"/>
            </w:pPr>
            <w:r>
              <w:rPr>
                <w:rFonts w:ascii="Montserrat" w:hAnsi="Montserrat"/>
                <w:b/>
                <w:i w:val="0"/>
                <w:color w:val="FFFFFF"/>
                <w:sz w:val="16"/>
              </w:rPr>
              <w:t>Qty</w:t>
            </w:r>
          </w:p>
        </w:tc>
        <w:tc>
          <w:tcPr>
            <w:tcW w:type="dxa" w:w="1701"/>
            <w:shd w:fill="061326"/>
            <w:tcMar>
              <w:top w:w="130" w:type="dxa"/>
              <w:start w:w="100" w:type="dxa"/>
              <w:bottom w:w="130" w:type="dxa"/>
              <w:end w:w="100" w:type="dxa"/>
            </w:tcMar>
          </w:tcPr>
          <w:p>
            <w:pPr>
              <w:jc w:val="center"/>
            </w:pPr>
            <w:r>
              <w:rPr>
                <w:rFonts w:ascii="Montserrat" w:hAnsi="Montserrat"/>
                <w:b/>
                <w:i w:val="0"/>
                <w:color w:val="FFFFFF"/>
                <w:sz w:val="16"/>
              </w:rPr>
              <w:t>Unit price</w:t>
            </w:r>
          </w:p>
        </w:tc>
        <w:tc>
          <w:tcPr>
            <w:tcW w:type="dxa" w:w="1814"/>
            <w:shd w:fill="061326"/>
            <w:tcMar>
              <w:top w:w="130" w:type="dxa"/>
              <w:start w:w="100" w:type="dxa"/>
              <w:bottom w:w="130" w:type="dxa"/>
              <w:end w:w="100" w:type="dxa"/>
            </w:tcMar>
          </w:tcPr>
          <w:p>
            <w:pPr>
              <w:jc w:val="center"/>
            </w:pPr>
            <w:r>
              <w:rPr>
                <w:rFonts w:ascii="Montserrat" w:hAnsi="Montserrat"/>
                <w:b/>
                <w:i w:val="0"/>
                <w:color w:val="FFFFFF"/>
                <w:sz w:val="16"/>
              </w:rPr>
              <w:t>Amount</w:t>
            </w:r>
          </w:p>
        </w:tc>
      </w:tr>
      <w:tr>
        <w:tc>
          <w:tcPr>
            <w:tcW w:type="dxa" w:w="567"/>
            <w:shd w:fill="FFFFFF"/>
            <w:tcMar>
              <w:top w:w="150" w:type="dxa"/>
              <w:start w:w="100" w:type="dxa"/>
              <w:bottom w:w="150" w:type="dxa"/>
              <w:end w:w="100" w:type="dxa"/>
            </w:tcMar>
            <w:tcBorders>
              <w:bottom w:val="single" w:sz="3" w:color="E9EEEC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i w:val="0"/>
                <w:color w:val="111418"/>
                <w:sz w:val="17"/>
              </w:rPr>
              <w:t>1</w:t>
            </w:r>
          </w:p>
        </w:tc>
        <w:tc>
          <w:tcPr>
            <w:tcW w:type="dxa" w:w="4535"/>
            <w:shd w:fill="FFFFFF"/>
            <w:tcMar>
              <w:top w:w="150" w:type="dxa"/>
              <w:start w:w="100" w:type="dxa"/>
              <w:bottom w:w="150" w:type="dxa"/>
              <w:end w:w="100" w:type="dxa"/>
            </w:tcMar>
            <w:tcBorders>
              <w:bottom w:val="single" w:sz="3" w:color="E9EEEC"/>
            </w:tcBorders>
          </w:tcPr>
          <w:p>
            <w:r>
              <w:rPr>
                <w:rFonts w:ascii="Inter" w:hAnsi="Inter"/>
                <w:b w:val="0"/>
                <w:i w:val="0"/>
                <w:color w:val="111418"/>
                <w:sz w:val="17"/>
              </w:rPr>
              <w:t>Residential platform lift system, three stops</w:t>
            </w:r>
          </w:p>
        </w:tc>
        <w:tc>
          <w:tcPr>
            <w:tcW w:type="dxa" w:w="1020"/>
            <w:shd w:fill="FFFFFF"/>
            <w:tcMar>
              <w:top w:w="150" w:type="dxa"/>
              <w:start w:w="100" w:type="dxa"/>
              <w:bottom w:w="150" w:type="dxa"/>
              <w:end w:w="100" w:type="dxa"/>
            </w:tcMar>
            <w:tcBorders>
              <w:bottom w:val="single" w:sz="3" w:color="E9EEEC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i w:val="0"/>
                <w:color w:val="111418"/>
                <w:sz w:val="17"/>
              </w:rPr>
              <w:t>1</w:t>
            </w:r>
          </w:p>
        </w:tc>
        <w:tc>
          <w:tcPr>
            <w:tcW w:type="dxa" w:w="1701"/>
            <w:shd w:fill="FFFFFF"/>
            <w:tcMar>
              <w:top w:w="150" w:type="dxa"/>
              <w:start w:w="100" w:type="dxa"/>
              <w:bottom w:w="150" w:type="dxa"/>
              <w:end w:w="100" w:type="dxa"/>
            </w:tcMar>
            <w:tcBorders>
              <w:bottom w:val="single" w:sz="3" w:color="E9EEEC"/>
            </w:tcBorders>
          </w:tcPr>
          <w:p>
            <w:pPr>
              <w:jc w:val="right"/>
            </w:pPr>
            <w:r>
              <w:rPr>
                <w:rFonts w:ascii="Inter" w:hAnsi="Inter"/>
                <w:b w:val="0"/>
                <w:i w:val="0"/>
                <w:color w:val="111418"/>
                <w:sz w:val="17"/>
              </w:rPr>
              <w:t>28,500,000</w:t>
            </w:r>
          </w:p>
        </w:tc>
        <w:tc>
          <w:tcPr>
            <w:tcW w:type="dxa" w:w="1814"/>
            <w:shd w:fill="FFFFFF"/>
            <w:tcMar>
              <w:top w:w="150" w:type="dxa"/>
              <w:start w:w="100" w:type="dxa"/>
              <w:bottom w:w="150" w:type="dxa"/>
              <w:end w:w="100" w:type="dxa"/>
            </w:tcMar>
            <w:tcBorders>
              <w:bottom w:val="single" w:sz="3" w:color="E9EEEC"/>
            </w:tcBorders>
          </w:tcPr>
          <w:p>
            <w:pPr>
              <w:jc w:val="right"/>
            </w:pPr>
            <w:r>
              <w:rPr>
                <w:rFonts w:ascii="Inter" w:hAnsi="Inter"/>
                <w:b w:val="0"/>
                <w:i w:val="0"/>
                <w:color w:val="111418"/>
                <w:sz w:val="17"/>
              </w:rPr>
              <w:t>28,500,000</w:t>
            </w:r>
          </w:p>
        </w:tc>
      </w:tr>
      <w:tr>
        <w:tc>
          <w:tcPr>
            <w:tcW w:type="dxa" w:w="567"/>
            <w:shd w:fill="F3F5F5"/>
            <w:tcMar>
              <w:top w:w="150" w:type="dxa"/>
              <w:start w:w="100" w:type="dxa"/>
              <w:bottom w:w="150" w:type="dxa"/>
              <w:end w:w="100" w:type="dxa"/>
            </w:tcMar>
            <w:tcBorders>
              <w:bottom w:val="single" w:sz="3" w:color="E9EEEC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i w:val="0"/>
                <w:color w:val="111418"/>
                <w:sz w:val="17"/>
              </w:rPr>
              <w:t>2</w:t>
            </w:r>
          </w:p>
        </w:tc>
        <w:tc>
          <w:tcPr>
            <w:tcW w:type="dxa" w:w="4535"/>
            <w:shd w:fill="F3F5F5"/>
            <w:tcMar>
              <w:top w:w="150" w:type="dxa"/>
              <w:start w:w="100" w:type="dxa"/>
              <w:bottom w:w="150" w:type="dxa"/>
              <w:end w:w="100" w:type="dxa"/>
            </w:tcMar>
            <w:tcBorders>
              <w:bottom w:val="single" w:sz="3" w:color="E9EEEC"/>
            </w:tcBorders>
          </w:tcPr>
          <w:p>
            <w:r>
              <w:rPr>
                <w:rFonts w:ascii="Inter" w:hAnsi="Inter"/>
                <w:b w:val="0"/>
                <w:i w:val="0"/>
                <w:color w:val="111418"/>
                <w:sz w:val="17"/>
              </w:rPr>
              <w:t>Delivery and installation coordination</w:t>
            </w:r>
          </w:p>
        </w:tc>
        <w:tc>
          <w:tcPr>
            <w:tcW w:type="dxa" w:w="1020"/>
            <w:shd w:fill="F3F5F5"/>
            <w:tcMar>
              <w:top w:w="150" w:type="dxa"/>
              <w:start w:w="100" w:type="dxa"/>
              <w:bottom w:w="150" w:type="dxa"/>
              <w:end w:w="100" w:type="dxa"/>
            </w:tcMar>
            <w:tcBorders>
              <w:bottom w:val="single" w:sz="3" w:color="E9EEEC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i w:val="0"/>
                <w:color w:val="111418"/>
                <w:sz w:val="17"/>
              </w:rPr>
              <w:t>1</w:t>
            </w:r>
          </w:p>
        </w:tc>
        <w:tc>
          <w:tcPr>
            <w:tcW w:type="dxa" w:w="1701"/>
            <w:shd w:fill="F3F5F5"/>
            <w:tcMar>
              <w:top w:w="150" w:type="dxa"/>
              <w:start w:w="100" w:type="dxa"/>
              <w:bottom w:w="150" w:type="dxa"/>
              <w:end w:w="100" w:type="dxa"/>
            </w:tcMar>
            <w:tcBorders>
              <w:bottom w:val="single" w:sz="3" w:color="E9EEEC"/>
            </w:tcBorders>
          </w:tcPr>
          <w:p>
            <w:pPr>
              <w:jc w:val="right"/>
            </w:pPr>
            <w:r>
              <w:rPr>
                <w:rFonts w:ascii="Inter" w:hAnsi="Inter"/>
                <w:b w:val="0"/>
                <w:i w:val="0"/>
                <w:color w:val="111418"/>
                <w:sz w:val="17"/>
              </w:rPr>
              <w:t>4,250,000</w:t>
            </w:r>
          </w:p>
        </w:tc>
        <w:tc>
          <w:tcPr>
            <w:tcW w:type="dxa" w:w="1814"/>
            <w:shd w:fill="F3F5F5"/>
            <w:tcMar>
              <w:top w:w="150" w:type="dxa"/>
              <w:start w:w="100" w:type="dxa"/>
              <w:bottom w:w="150" w:type="dxa"/>
              <w:end w:w="100" w:type="dxa"/>
            </w:tcMar>
            <w:tcBorders>
              <w:bottom w:val="single" w:sz="3" w:color="E9EEEC"/>
            </w:tcBorders>
          </w:tcPr>
          <w:p>
            <w:pPr>
              <w:jc w:val="right"/>
            </w:pPr>
            <w:r>
              <w:rPr>
                <w:rFonts w:ascii="Inter" w:hAnsi="Inter"/>
                <w:b w:val="0"/>
                <w:i w:val="0"/>
                <w:color w:val="111418"/>
                <w:sz w:val="17"/>
              </w:rPr>
              <w:t>4,250,000</w:t>
            </w:r>
          </w:p>
        </w:tc>
      </w:tr>
      <w:tr>
        <w:tc>
          <w:tcPr>
            <w:tcW w:type="dxa" w:w="567"/>
            <w:shd w:fill="FFFFFF"/>
            <w:tcMar>
              <w:top w:w="150" w:type="dxa"/>
              <w:start w:w="100" w:type="dxa"/>
              <w:bottom w:w="150" w:type="dxa"/>
              <w:end w:w="100" w:type="dxa"/>
            </w:tcMar>
            <w:tcBorders>
              <w:bottom w:val="single" w:sz="3" w:color="E9EEEC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i w:val="0"/>
                <w:color w:val="111418"/>
                <w:sz w:val="17"/>
              </w:rPr>
              <w:t>3</w:t>
            </w:r>
          </w:p>
        </w:tc>
        <w:tc>
          <w:tcPr>
            <w:tcW w:type="dxa" w:w="4535"/>
            <w:shd w:fill="FFFFFF"/>
            <w:tcMar>
              <w:top w:w="150" w:type="dxa"/>
              <w:start w:w="100" w:type="dxa"/>
              <w:bottom w:w="150" w:type="dxa"/>
              <w:end w:w="100" w:type="dxa"/>
            </w:tcMar>
            <w:tcBorders>
              <w:bottom w:val="single" w:sz="3" w:color="E9EEEC"/>
            </w:tcBorders>
          </w:tcPr>
          <w:p>
            <w:r>
              <w:rPr>
                <w:rFonts w:ascii="Inter" w:hAnsi="Inter"/>
                <w:b w:val="0"/>
                <w:i w:val="0"/>
                <w:color w:val="111418"/>
                <w:sz w:val="17"/>
              </w:rPr>
              <w:t>Testing, commissioning and handover</w:t>
            </w:r>
          </w:p>
        </w:tc>
        <w:tc>
          <w:tcPr>
            <w:tcW w:type="dxa" w:w="1020"/>
            <w:shd w:fill="FFFFFF"/>
            <w:tcMar>
              <w:top w:w="150" w:type="dxa"/>
              <w:start w:w="100" w:type="dxa"/>
              <w:bottom w:w="150" w:type="dxa"/>
              <w:end w:w="100" w:type="dxa"/>
            </w:tcMar>
            <w:tcBorders>
              <w:bottom w:val="single" w:sz="3" w:color="E9EEEC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i w:val="0"/>
                <w:color w:val="111418"/>
                <w:sz w:val="17"/>
              </w:rPr>
              <w:t>1</w:t>
            </w:r>
          </w:p>
        </w:tc>
        <w:tc>
          <w:tcPr>
            <w:tcW w:type="dxa" w:w="1701"/>
            <w:shd w:fill="FFFFFF"/>
            <w:tcMar>
              <w:top w:w="150" w:type="dxa"/>
              <w:start w:w="100" w:type="dxa"/>
              <w:bottom w:w="150" w:type="dxa"/>
              <w:end w:w="100" w:type="dxa"/>
            </w:tcMar>
            <w:tcBorders>
              <w:bottom w:val="single" w:sz="3" w:color="E9EEEC"/>
            </w:tcBorders>
          </w:tcPr>
          <w:p>
            <w:pPr>
              <w:jc w:val="right"/>
            </w:pPr>
            <w:r>
              <w:rPr>
                <w:rFonts w:ascii="Inter" w:hAnsi="Inter"/>
                <w:b w:val="0"/>
                <w:i w:val="0"/>
                <w:color w:val="111418"/>
                <w:sz w:val="17"/>
              </w:rPr>
              <w:t>1,150,000</w:t>
            </w:r>
          </w:p>
        </w:tc>
        <w:tc>
          <w:tcPr>
            <w:tcW w:type="dxa" w:w="1814"/>
            <w:shd w:fill="FFFFFF"/>
            <w:tcMar>
              <w:top w:w="150" w:type="dxa"/>
              <w:start w:w="100" w:type="dxa"/>
              <w:bottom w:w="150" w:type="dxa"/>
              <w:end w:w="100" w:type="dxa"/>
            </w:tcMar>
            <w:tcBorders>
              <w:bottom w:val="single" w:sz="3" w:color="E9EEEC"/>
            </w:tcBorders>
          </w:tcPr>
          <w:p>
            <w:pPr>
              <w:jc w:val="right"/>
            </w:pPr>
            <w:r>
              <w:rPr>
                <w:rFonts w:ascii="Inter" w:hAnsi="Inter"/>
                <w:b w:val="0"/>
                <w:i w:val="0"/>
                <w:color w:val="111418"/>
                <w:sz w:val="17"/>
              </w:rPr>
              <w:t>1,150,000</w:t>
            </w:r>
          </w:p>
        </w:tc>
      </w:tr>
      <w:tr>
        <w:tc>
          <w:tcPr>
            <w:tcW w:type="dxa" w:w="567"/>
            <w:shd w:fill="F3F5F5"/>
            <w:tcMar>
              <w:top w:w="150" w:type="dxa"/>
              <w:start w:w="100" w:type="dxa"/>
              <w:bottom w:w="150" w:type="dxa"/>
              <w:end w:w="100" w:type="dxa"/>
            </w:tcMar>
            <w:tcBorders>
              <w:bottom w:val="single" w:sz="3" w:color="E9EEEC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i w:val="0"/>
                <w:color w:val="111418"/>
                <w:sz w:val="17"/>
              </w:rPr>
              <w:t>4</w:t>
            </w:r>
          </w:p>
        </w:tc>
        <w:tc>
          <w:tcPr>
            <w:tcW w:type="dxa" w:w="4535"/>
            <w:shd w:fill="F3F5F5"/>
            <w:tcMar>
              <w:top w:w="150" w:type="dxa"/>
              <w:start w:w="100" w:type="dxa"/>
              <w:bottom w:w="150" w:type="dxa"/>
              <w:end w:w="100" w:type="dxa"/>
            </w:tcMar>
            <w:tcBorders>
              <w:bottom w:val="single" w:sz="3" w:color="E9EEEC"/>
            </w:tcBorders>
          </w:tcPr>
          <w:p>
            <w:r>
              <w:rPr>
                <w:rFonts w:ascii="Inter" w:hAnsi="Inter"/>
                <w:b w:val="0"/>
                <w:i w:val="0"/>
                <w:color w:val="111418"/>
                <w:sz w:val="17"/>
              </w:rPr>
              <w:t>Initial planned maintenance allowance</w:t>
            </w:r>
          </w:p>
        </w:tc>
        <w:tc>
          <w:tcPr>
            <w:tcW w:type="dxa" w:w="1020"/>
            <w:shd w:fill="F3F5F5"/>
            <w:tcMar>
              <w:top w:w="150" w:type="dxa"/>
              <w:start w:w="100" w:type="dxa"/>
              <w:bottom w:w="150" w:type="dxa"/>
              <w:end w:w="100" w:type="dxa"/>
            </w:tcMar>
            <w:tcBorders>
              <w:bottom w:val="single" w:sz="3" w:color="E9EEEC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i w:val="0"/>
                <w:color w:val="111418"/>
                <w:sz w:val="17"/>
              </w:rPr>
              <w:t>1</w:t>
            </w:r>
          </w:p>
        </w:tc>
        <w:tc>
          <w:tcPr>
            <w:tcW w:type="dxa" w:w="1701"/>
            <w:shd w:fill="F3F5F5"/>
            <w:tcMar>
              <w:top w:w="150" w:type="dxa"/>
              <w:start w:w="100" w:type="dxa"/>
              <w:bottom w:w="150" w:type="dxa"/>
              <w:end w:w="100" w:type="dxa"/>
            </w:tcMar>
            <w:tcBorders>
              <w:bottom w:val="single" w:sz="3" w:color="E9EEEC"/>
            </w:tcBorders>
          </w:tcPr>
          <w:p>
            <w:pPr>
              <w:jc w:val="right"/>
            </w:pPr>
            <w:r>
              <w:rPr>
                <w:rFonts w:ascii="Inter" w:hAnsi="Inter"/>
                <w:b w:val="0"/>
                <w:i w:val="0"/>
                <w:color w:val="111418"/>
                <w:sz w:val="17"/>
              </w:rPr>
              <w:t>900,000</w:t>
            </w:r>
          </w:p>
        </w:tc>
        <w:tc>
          <w:tcPr>
            <w:tcW w:type="dxa" w:w="1814"/>
            <w:shd w:fill="F3F5F5"/>
            <w:tcMar>
              <w:top w:w="150" w:type="dxa"/>
              <w:start w:w="100" w:type="dxa"/>
              <w:bottom w:w="150" w:type="dxa"/>
              <w:end w:w="100" w:type="dxa"/>
            </w:tcMar>
            <w:tcBorders>
              <w:bottom w:val="single" w:sz="3" w:color="E9EEEC"/>
            </w:tcBorders>
          </w:tcPr>
          <w:p>
            <w:pPr>
              <w:jc w:val="right"/>
            </w:pPr>
            <w:r>
              <w:rPr>
                <w:rFonts w:ascii="Inter" w:hAnsi="Inter"/>
                <w:b w:val="0"/>
                <w:i w:val="0"/>
                <w:color w:val="111418"/>
                <w:sz w:val="17"/>
              </w:rPr>
              <w:t>900,000</w:t>
            </w:r>
          </w:p>
        </w:tc>
      </w:tr>
    </w:tbl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041"/>
            <w:shd w:fill="E9EEE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right"/>
            </w:pPr>
            <w:r>
              <w:rPr>
                <w:rFonts w:ascii="Inter" w:hAnsi="Inter"/>
                <w:b w:val="0"/>
                <w:i w:val="0"/>
                <w:color w:val="111418"/>
                <w:sz w:val="18"/>
              </w:rPr>
              <w:t>Subtotal</w:t>
            </w:r>
          </w:p>
        </w:tc>
        <w:tc>
          <w:tcPr>
            <w:tcW w:type="dxa" w:w="226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right"/>
            </w:pPr>
            <w:r>
              <w:rPr>
                <w:rFonts w:ascii="Inter" w:hAnsi="Inter"/>
                <w:b w:val="0"/>
                <w:i w:val="0"/>
                <w:color w:val="111418"/>
                <w:sz w:val="18"/>
              </w:rPr>
              <w:t>₦34,800,000</w:t>
            </w:r>
          </w:p>
        </w:tc>
      </w:tr>
      <w:tr>
        <w:tc>
          <w:tcPr>
            <w:tcW w:type="dxa" w:w="2041"/>
            <w:shd w:fill="E9EEE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right"/>
            </w:pPr>
            <w:r>
              <w:rPr>
                <w:rFonts w:ascii="Inter" w:hAnsi="Inter"/>
                <w:b w:val="0"/>
                <w:i w:val="0"/>
                <w:color w:val="111418"/>
                <w:sz w:val="18"/>
              </w:rPr>
              <w:t>VAT (7.5%)</w:t>
            </w:r>
          </w:p>
        </w:tc>
        <w:tc>
          <w:tcPr>
            <w:tcW w:type="dxa" w:w="226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right"/>
            </w:pPr>
            <w:r>
              <w:rPr>
                <w:rFonts w:ascii="Inter" w:hAnsi="Inter"/>
                <w:b w:val="0"/>
                <w:i w:val="0"/>
                <w:color w:val="111418"/>
                <w:sz w:val="18"/>
              </w:rPr>
              <w:t>₦2,610,000</w:t>
            </w:r>
          </w:p>
        </w:tc>
      </w:tr>
      <w:tr>
        <w:tc>
          <w:tcPr>
            <w:tcW w:type="dxa" w:w="2041"/>
            <w:shd w:fill="168A5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right"/>
            </w:pPr>
            <w:r>
              <w:rPr>
                <w:rFonts w:ascii="Inter" w:hAnsi="Inter"/>
                <w:b/>
                <w:i w:val="0"/>
                <w:color w:val="FFFFFF"/>
                <w:sz w:val="18"/>
              </w:rPr>
              <w:t>Total</w:t>
            </w:r>
          </w:p>
        </w:tc>
        <w:tc>
          <w:tcPr>
            <w:tcW w:type="dxa" w:w="2268"/>
            <w:shd w:fill="06132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right"/>
            </w:pPr>
            <w:r>
              <w:rPr>
                <w:rFonts w:ascii="Inter" w:hAnsi="Inter"/>
                <w:b/>
                <w:i w:val="0"/>
                <w:color w:val="FFFFFF"/>
                <w:sz w:val="18"/>
              </w:rPr>
              <w:t>₦37,410,000</w:t>
            </w:r>
          </w:p>
        </w:tc>
      </w:tr>
    </w:tbl>
    <w:p>
      <w:pPr>
        <w:pStyle w:val="Heading2"/>
        <w:spacing w:before="320" w:after="120" w:line="252" w:lineRule="auto"/>
      </w:pPr>
      <w:r>
        <w:rPr>
          <w:rFonts w:ascii="Cormorant Garamond" w:hAnsi="Cormorant Garamond"/>
          <w:b/>
          <w:i w:val="0"/>
          <w:color w:val="061326"/>
          <w:sz w:val="34"/>
        </w:rPr>
        <w:t>Commercial assumptions</w:t>
      </w:r>
    </w:p>
    <w:p>
      <w:pPr>
        <w:pStyle w:val="ListBullet"/>
      </w:pPr>
      <w:r>
        <w:rPr>
          <w:rFonts w:ascii="Inter" w:hAnsi="Inter"/>
          <w:b w:val="0"/>
          <w:i w:val="0"/>
          <w:color w:val="111418"/>
          <w:sz w:val="20"/>
        </w:rPr>
        <w:t>Pricing excludes major structural works, builder’s works and utility upgrades unless explicitly stated.</w:t>
      </w:r>
    </w:p>
    <w:p>
      <w:pPr>
        <w:pStyle w:val="ListBullet"/>
      </w:pPr>
      <w:r>
        <w:rPr>
          <w:rFonts w:ascii="Inter" w:hAnsi="Inter"/>
          <w:b w:val="0"/>
          <w:i w:val="0"/>
          <w:color w:val="111418"/>
          <w:sz w:val="20"/>
        </w:rPr>
        <w:t>Final tax treatment and payment milestones must be confirmed before issue.</w:t>
      </w:r>
    </w:p>
    <w:p>
      <w:pPr>
        <w:pStyle w:val="ListBullet"/>
      </w:pPr>
      <w:r>
        <w:rPr>
          <w:rFonts w:ascii="Inter" w:hAnsi="Inter"/>
          <w:b w:val="0"/>
          <w:i w:val="0"/>
          <w:color w:val="111418"/>
          <w:sz w:val="20"/>
        </w:rPr>
        <w:t>Programme begins after approved drawings, deposit and confirmed site readiness.</w:t>
      </w:r>
    </w:p>
    <w:p>
      <w:r>
        <w:br w:type="page"/>
      </w:r>
    </w:p>
    <w:p>
      <w:pPr>
        <w:spacing w:before="0" w:after="60" w:line="288" w:lineRule="auto"/>
      </w:pPr>
      <w:r>
        <w:rPr>
          <w:rFonts w:ascii="Montserrat" w:hAnsi="Montserrat"/>
          <w:b/>
          <w:i w:val="0"/>
          <w:color w:val="0F5F3C"/>
          <w:sz w:val="17"/>
        </w:rPr>
        <w:t>TERMS, WARRANTY &amp; MAINTENANCE</w:t>
      </w:r>
    </w:p>
    <w:p>
      <w:pPr>
        <w:pStyle w:val="Heading1"/>
        <w:spacing w:before="0" w:after="200" w:line="252" w:lineRule="auto"/>
      </w:pPr>
      <w:r>
        <w:rPr>
          <w:rFonts w:ascii="Cormorant Garamond" w:hAnsi="Cormorant Garamond"/>
          <w:b/>
          <w:i w:val="0"/>
          <w:color w:val="061326"/>
          <w:sz w:val="48"/>
        </w:rPr>
        <w:t>Clear responsibilities support a reliable outcome.</w:t>
      </w:r>
    </w:p>
    <w:p>
      <w:pPr>
        <w:pStyle w:val="Heading2"/>
        <w:spacing w:before="160" w:after="60" w:line="252" w:lineRule="auto"/>
      </w:pPr>
      <w:r>
        <w:rPr>
          <w:rFonts w:ascii="Cormorant Garamond" w:hAnsi="Cormorant Garamond"/>
          <w:b/>
          <w:i w:val="0"/>
          <w:color w:val="061326"/>
          <w:sz w:val="34"/>
        </w:rPr>
        <w:t>Payment terms</w:t>
      </w:r>
    </w:p>
    <w:p>
      <w:pPr>
        <w:spacing w:before="0" w:after="100" w:line="300" w:lineRule="auto"/>
      </w:pPr>
      <w:r>
        <w:rPr>
          <w:rFonts w:ascii="Inter" w:hAnsi="Inter"/>
          <w:b w:val="0"/>
          <w:i w:val="0"/>
          <w:color w:val="111418"/>
          <w:sz w:val="19"/>
        </w:rPr>
        <w:t>40% with order, 50% before delivery to site and 10% after commissioning. Replace with approved commercial terms before issue.</w:t>
      </w:r>
    </w:p>
    <w:p>
      <w:pPr>
        <w:pStyle w:val="Heading2"/>
        <w:spacing w:before="160" w:after="60" w:line="252" w:lineRule="auto"/>
      </w:pPr>
      <w:r>
        <w:rPr>
          <w:rFonts w:ascii="Cormorant Garamond" w:hAnsi="Cormorant Garamond"/>
          <w:b/>
          <w:i w:val="0"/>
          <w:color w:val="061326"/>
          <w:sz w:val="34"/>
        </w:rPr>
        <w:t>Validity</w:t>
      </w:r>
    </w:p>
    <w:p>
      <w:pPr>
        <w:spacing w:before="0" w:after="100" w:line="300" w:lineRule="auto"/>
      </w:pPr>
      <w:r>
        <w:rPr>
          <w:rFonts w:ascii="Inter" w:hAnsi="Inter"/>
          <w:b w:val="0"/>
          <w:i w:val="0"/>
          <w:color w:val="111418"/>
          <w:sz w:val="19"/>
        </w:rPr>
        <w:t>This sample quotation is valid for 30 days from the issue date and is subject to final technical and commercial review.</w:t>
      </w:r>
    </w:p>
    <w:p>
      <w:pPr>
        <w:pStyle w:val="Heading2"/>
        <w:spacing w:before="160" w:after="60" w:line="252" w:lineRule="auto"/>
      </w:pPr>
      <w:r>
        <w:rPr>
          <w:rFonts w:ascii="Cormorant Garamond" w:hAnsi="Cormorant Garamond"/>
          <w:b/>
          <w:i w:val="0"/>
          <w:color w:val="061326"/>
          <w:sz w:val="34"/>
        </w:rPr>
        <w:t>Programme</w:t>
      </w:r>
    </w:p>
    <w:p>
      <w:pPr>
        <w:spacing w:before="0" w:after="100" w:line="300" w:lineRule="auto"/>
      </w:pPr>
      <w:r>
        <w:rPr>
          <w:rFonts w:ascii="Inter" w:hAnsi="Inter"/>
          <w:b w:val="0"/>
          <w:i w:val="0"/>
          <w:color w:val="111418"/>
          <w:sz w:val="19"/>
        </w:rPr>
        <w:t>Indicative lead times are confirmed only after product selection, approved drawings, payment and site-readiness review.</w:t>
      </w:r>
    </w:p>
    <w:p>
      <w:pPr>
        <w:pStyle w:val="Heading2"/>
        <w:spacing w:before="160" w:after="60" w:line="252" w:lineRule="auto"/>
      </w:pPr>
      <w:r>
        <w:rPr>
          <w:rFonts w:ascii="Cormorant Garamond" w:hAnsi="Cormorant Garamond"/>
          <w:b/>
          <w:i w:val="0"/>
          <w:color w:val="061326"/>
          <w:sz w:val="34"/>
        </w:rPr>
        <w:t>Warranty</w:t>
      </w:r>
    </w:p>
    <w:p>
      <w:pPr>
        <w:spacing w:before="0" w:after="100" w:line="300" w:lineRule="auto"/>
      </w:pPr>
      <w:r>
        <w:rPr>
          <w:rFonts w:ascii="Inter" w:hAnsi="Inter"/>
          <w:b w:val="0"/>
          <w:i w:val="0"/>
          <w:color w:val="111418"/>
          <w:sz w:val="19"/>
        </w:rPr>
        <w:t>Warranty scope, duration, exclusions and commencement date are confirmed in the final contract and manufacturer documentation.</w:t>
      </w:r>
    </w:p>
    <w:p>
      <w:pPr>
        <w:pStyle w:val="Heading2"/>
        <w:spacing w:before="160" w:after="60" w:line="252" w:lineRule="auto"/>
      </w:pPr>
      <w:r>
        <w:rPr>
          <w:rFonts w:ascii="Cormorant Garamond" w:hAnsi="Cormorant Garamond"/>
          <w:b/>
          <w:i w:val="0"/>
          <w:color w:val="061326"/>
          <w:sz w:val="34"/>
        </w:rPr>
        <w:t>Maintenance</w:t>
      </w:r>
    </w:p>
    <w:p>
      <w:pPr>
        <w:spacing w:before="0" w:after="100" w:line="300" w:lineRule="auto"/>
      </w:pPr>
      <w:r>
        <w:rPr>
          <w:rFonts w:ascii="Inter" w:hAnsi="Inter"/>
          <w:b w:val="0"/>
          <w:i w:val="0"/>
          <w:color w:val="111418"/>
          <w:sz w:val="19"/>
        </w:rPr>
        <w:t>A separate planned-maintenance agreement should define visit frequency, response arrangements, exclusions and renewal terms.</w:t>
      </w:r>
    </w:p>
    <w:p>
      <w:pPr>
        <w:pStyle w:val="Heading2"/>
        <w:spacing w:before="160" w:after="60" w:line="252" w:lineRule="auto"/>
      </w:pPr>
      <w:r>
        <w:rPr>
          <w:rFonts w:ascii="Cormorant Garamond" w:hAnsi="Cormorant Garamond"/>
          <w:b/>
          <w:i w:val="0"/>
          <w:color w:val="061326"/>
          <w:sz w:val="34"/>
        </w:rPr>
        <w:t>Client responsibilities</w:t>
      </w:r>
    </w:p>
    <w:p>
      <w:pPr>
        <w:spacing w:before="0" w:after="100" w:line="300" w:lineRule="auto"/>
      </w:pPr>
      <w:r>
        <w:rPr>
          <w:rFonts w:ascii="Inter" w:hAnsi="Inter"/>
          <w:b w:val="0"/>
          <w:i w:val="0"/>
          <w:color w:val="111418"/>
          <w:sz w:val="19"/>
        </w:rPr>
        <w:t>Provide accurate site information, coordinated access, safe working conditions, required utilities and timely approvals.</w:t>
      </w:r>
    </w:p>
    <w:p>
      <w:pPr>
        <w:spacing w:before="200" w:after="0" w:line="288" w:lineRule="auto"/>
      </w:pPr>
      <w:r>
        <w:rPr>
          <w:rFonts w:ascii="Inter" w:hAnsi="Inter"/>
          <w:b w:val="0"/>
          <w:i/>
          <w:color w:val="A8ADB3"/>
          <w:sz w:val="17"/>
        </w:rPr>
        <w:t>No supplier, authorization, exclusivity or performance claim is made by this sample template. Confirm every public and contractual claim before use.</w:t>
      </w:r>
    </w:p>
    <w:p>
      <w:r>
        <w:br w:type="page"/>
      </w:r>
    </w:p>
    <w:p>
      <w:pPr>
        <w:spacing w:before="0" w:after="60" w:line="288" w:lineRule="auto"/>
      </w:pPr>
      <w:r>
        <w:rPr>
          <w:rFonts w:ascii="Montserrat" w:hAnsi="Montserrat"/>
          <w:b/>
          <w:i w:val="0"/>
          <w:color w:val="0F5F3C"/>
          <w:sz w:val="17"/>
        </w:rPr>
        <w:t>APPROVAL</w:t>
      </w:r>
    </w:p>
    <w:p>
      <w:pPr>
        <w:pStyle w:val="Heading1"/>
        <w:spacing w:before="0" w:after="200" w:line="252" w:lineRule="auto"/>
      </w:pPr>
      <w:r>
        <w:rPr>
          <w:rFonts w:ascii="Cormorant Garamond" w:hAnsi="Cormorant Garamond"/>
          <w:b/>
          <w:i w:val="0"/>
          <w:color w:val="061326"/>
          <w:sz w:val="48"/>
        </w:rPr>
        <w:t>Confirm the agreed basis and authorize the next step.</w:t>
      </w:r>
    </w:p>
    <w:p>
      <w:pPr>
        <w:spacing w:before="0" w:after="360" w:line="324" w:lineRule="auto"/>
      </w:pPr>
      <w:r>
        <w:rPr>
          <w:rFonts w:ascii="Inter" w:hAnsi="Inter"/>
          <w:b w:val="0"/>
          <w:i w:val="0"/>
          <w:color w:val="111418"/>
          <w:sz w:val="21"/>
        </w:rPr>
        <w:t>By signing below, the client confirms the commercial and project basis for the next agreed stage, subject to the final contract, approved technical documentation and any recorded qualifications.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shd w:fill="E9EEEC"/>
            <w:tcMar>
              <w:top w:w="170" w:type="dxa"/>
              <w:start w:w="150" w:type="dxa"/>
              <w:bottom w:w="170" w:type="dxa"/>
              <w:end w:w="150" w:type="dxa"/>
            </w:tcMar>
            <w:tcBorders>
              <w:bottom w:val="single" w:sz="4" w:color="FFFFFF"/>
            </w:tcBorders>
          </w:tcPr>
          <w:p>
            <w:r>
              <w:rPr>
                <w:rFonts w:ascii="Montserrat" w:hAnsi="Montserrat"/>
                <w:b/>
                <w:i w:val="0"/>
                <w:color w:val="0F5F3C"/>
                <w:sz w:val="15"/>
              </w:rPr>
              <w:t>CLIENT ORGANIZATION</w:t>
            </w:r>
          </w:p>
        </w:tc>
        <w:tc>
          <w:tcPr>
            <w:tcW w:type="dxa" w:w="6520"/>
            <w:tcMar>
              <w:top w:w="170" w:type="dxa"/>
              <w:start w:w="150" w:type="dxa"/>
              <w:bottom w:w="170" w:type="dxa"/>
              <w:end w:w="150" w:type="dxa"/>
            </w:tcMar>
            <w:tcBorders>
              <w:bottom w:val="single" w:sz="4" w:color="E9EEEC"/>
            </w:tcBorders>
          </w:tcPr>
          <w:p>
            <w:r>
              <w:rPr>
                <w:rFonts w:ascii="Inter" w:hAnsi="Inter"/>
                <w:b w:val="0"/>
                <w:i w:val="0"/>
                <w:color w:val="111418"/>
                <w:sz w:val="20"/>
              </w:rPr>
              <w:t>Meridian Court Developments</w:t>
            </w:r>
          </w:p>
        </w:tc>
      </w:tr>
      <w:tr>
        <w:tc>
          <w:tcPr>
            <w:tcW w:type="dxa" w:w="3118"/>
            <w:shd w:fill="E9EEEC"/>
            <w:tcMar>
              <w:top w:w="170" w:type="dxa"/>
              <w:start w:w="150" w:type="dxa"/>
              <w:bottom w:w="170" w:type="dxa"/>
              <w:end w:w="150" w:type="dxa"/>
            </w:tcMar>
            <w:tcBorders>
              <w:bottom w:val="single" w:sz="4" w:color="FFFFFF"/>
            </w:tcBorders>
          </w:tcPr>
          <w:p>
            <w:r>
              <w:rPr>
                <w:rFonts w:ascii="Montserrat" w:hAnsi="Montserrat"/>
                <w:b/>
                <w:i w:val="0"/>
                <w:color w:val="0F5F3C"/>
                <w:sz w:val="15"/>
              </w:rPr>
              <w:t>AUTHORIZED REPRESENTATIVE</w:t>
            </w:r>
          </w:p>
        </w:tc>
        <w:tc>
          <w:tcPr>
            <w:tcW w:type="dxa" w:w="6520"/>
            <w:tcMar>
              <w:top w:w="170" w:type="dxa"/>
              <w:start w:w="150" w:type="dxa"/>
              <w:bottom w:w="170" w:type="dxa"/>
              <w:end w:w="150" w:type="dxa"/>
            </w:tcMar>
            <w:tcBorders>
              <w:bottom w:val="single" w:sz="4" w:color="E9EEEC"/>
            </w:tcBorders>
          </w:tcPr>
          <w:p>
            <w:r>
              <w:rPr>
                <w:rFonts w:ascii="Inter" w:hAnsi="Inter"/>
                <w:b w:val="0"/>
                <w:i w:val="0"/>
                <w:color w:val="111418"/>
                <w:sz w:val="20"/>
              </w:rPr>
              <w:t>Adaeze Okafor</w:t>
            </w:r>
          </w:p>
        </w:tc>
      </w:tr>
      <w:tr>
        <w:tc>
          <w:tcPr>
            <w:tcW w:type="dxa" w:w="3118"/>
            <w:shd w:fill="E9EEEC"/>
            <w:tcMar>
              <w:top w:w="170" w:type="dxa"/>
              <w:start w:w="150" w:type="dxa"/>
              <w:bottom w:w="170" w:type="dxa"/>
              <w:end w:w="150" w:type="dxa"/>
            </w:tcMar>
            <w:tcBorders>
              <w:bottom w:val="single" w:sz="4" w:color="FFFFFF"/>
            </w:tcBorders>
          </w:tcPr>
          <w:p>
            <w:r>
              <w:rPr>
                <w:rFonts w:ascii="Montserrat" w:hAnsi="Montserrat"/>
                <w:b/>
                <w:i w:val="0"/>
                <w:color w:val="0F5F3C"/>
                <w:sz w:val="15"/>
              </w:rPr>
              <w:t>ROLE</w:t>
            </w:r>
          </w:p>
        </w:tc>
        <w:tc>
          <w:tcPr>
            <w:tcW w:type="dxa" w:w="6520"/>
            <w:tcMar>
              <w:top w:w="170" w:type="dxa"/>
              <w:start w:w="150" w:type="dxa"/>
              <w:bottom w:w="170" w:type="dxa"/>
              <w:end w:w="150" w:type="dxa"/>
            </w:tcMar>
            <w:tcBorders>
              <w:bottom w:val="single" w:sz="4" w:color="E9EEEC"/>
            </w:tcBorders>
          </w:tcPr>
          <w:p>
            <w:r>
              <w:rPr>
                <w:rFonts w:ascii="Inter" w:hAnsi="Inter"/>
                <w:b w:val="0"/>
                <w:i w:val="0"/>
                <w:color w:val="111418"/>
                <w:sz w:val="20"/>
              </w:rPr>
              <w:t>Project Director</w:t>
            </w:r>
          </w:p>
        </w:tc>
      </w:tr>
      <w:tr>
        <w:tc>
          <w:tcPr>
            <w:tcW w:type="dxa" w:w="3118"/>
            <w:shd w:fill="E9EEEC"/>
            <w:tcMar>
              <w:top w:w="170" w:type="dxa"/>
              <w:start w:w="150" w:type="dxa"/>
              <w:bottom w:w="170" w:type="dxa"/>
              <w:end w:w="150" w:type="dxa"/>
            </w:tcMar>
            <w:tcBorders>
              <w:bottom w:val="single" w:sz="4" w:color="FFFFFF"/>
            </w:tcBorders>
          </w:tcPr>
          <w:p>
            <w:r>
              <w:rPr>
                <w:rFonts w:ascii="Montserrat" w:hAnsi="Montserrat"/>
                <w:b/>
                <w:i w:val="0"/>
                <w:color w:val="0F5F3C"/>
                <w:sz w:val="15"/>
              </w:rPr>
              <w:t>SIGNATURE</w:t>
            </w:r>
          </w:p>
        </w:tc>
        <w:tc>
          <w:tcPr>
            <w:tcW w:type="dxa" w:w="6520"/>
            <w:tcMar>
              <w:top w:w="170" w:type="dxa"/>
              <w:start w:w="150" w:type="dxa"/>
              <w:bottom w:w="170" w:type="dxa"/>
              <w:end w:w="150" w:type="dxa"/>
            </w:tcMar>
            <w:tcBorders>
              <w:bottom w:val="single" w:sz="4" w:color="E9EEEC"/>
            </w:tcBorders>
          </w:tcPr>
          <w:p>
            <w:r>
              <w:rPr>
                <w:rFonts w:ascii="Inter" w:hAnsi="Inter"/>
                <w:b w:val="0"/>
                <w:i w:val="0"/>
                <w:color w:val="111418"/>
                <w:sz w:val="20"/>
              </w:rPr>
            </w:r>
          </w:p>
        </w:tc>
      </w:tr>
      <w:tr>
        <w:tc>
          <w:tcPr>
            <w:tcW w:type="dxa" w:w="3118"/>
            <w:shd w:fill="E9EEEC"/>
            <w:tcMar>
              <w:top w:w="170" w:type="dxa"/>
              <w:start w:w="150" w:type="dxa"/>
              <w:bottom w:w="170" w:type="dxa"/>
              <w:end w:w="150" w:type="dxa"/>
            </w:tcMar>
            <w:tcBorders>
              <w:bottom w:val="single" w:sz="4" w:color="FFFFFF"/>
            </w:tcBorders>
          </w:tcPr>
          <w:p>
            <w:r>
              <w:rPr>
                <w:rFonts w:ascii="Montserrat" w:hAnsi="Montserrat"/>
                <w:b/>
                <w:i w:val="0"/>
                <w:color w:val="0F5F3C"/>
                <w:sz w:val="15"/>
              </w:rPr>
              <w:t>DATE</w:t>
            </w:r>
          </w:p>
        </w:tc>
        <w:tc>
          <w:tcPr>
            <w:tcW w:type="dxa" w:w="6520"/>
            <w:tcMar>
              <w:top w:w="170" w:type="dxa"/>
              <w:start w:w="150" w:type="dxa"/>
              <w:bottom w:w="170" w:type="dxa"/>
              <w:end w:w="150" w:type="dxa"/>
            </w:tcMar>
            <w:tcBorders>
              <w:bottom w:val="single" w:sz="4" w:color="E9EEEC"/>
            </w:tcBorders>
          </w:tcPr>
          <w:p>
            <w:r>
              <w:rPr>
                <w:rFonts w:ascii="Inter" w:hAnsi="Inter"/>
                <w:b w:val="0"/>
                <w:i w:val="0"/>
                <w:color w:val="111418"/>
                <w:sz w:val="20"/>
              </w:rPr>
            </w:r>
          </w:p>
        </w:tc>
      </w:tr>
      <w:tr>
        <w:tc>
          <w:tcPr>
            <w:tcW w:type="dxa" w:w="3118"/>
            <w:shd w:fill="E9EEEC"/>
            <w:tcMar>
              <w:top w:w="170" w:type="dxa"/>
              <w:start w:w="150" w:type="dxa"/>
              <w:bottom w:w="170" w:type="dxa"/>
              <w:end w:w="150" w:type="dxa"/>
            </w:tcMar>
            <w:tcBorders>
              <w:bottom w:val="single" w:sz="4" w:color="FFFFFF"/>
            </w:tcBorders>
          </w:tcPr>
          <w:p>
            <w:r>
              <w:rPr>
                <w:rFonts w:ascii="Montserrat" w:hAnsi="Montserrat"/>
                <w:b/>
                <w:i w:val="0"/>
                <w:color w:val="0F5F3C"/>
                <w:sz w:val="15"/>
              </w:rPr>
              <w:t>PURCHASE ORDER / REFERENCE</w:t>
            </w:r>
          </w:p>
        </w:tc>
        <w:tc>
          <w:tcPr>
            <w:tcW w:type="dxa" w:w="6520"/>
            <w:tcMar>
              <w:top w:w="170" w:type="dxa"/>
              <w:start w:w="150" w:type="dxa"/>
              <w:bottom w:w="170" w:type="dxa"/>
              <w:end w:w="150" w:type="dxa"/>
            </w:tcMar>
            <w:tcBorders>
              <w:bottom w:val="single" w:sz="4" w:color="E9EEEC"/>
            </w:tcBorders>
          </w:tcPr>
          <w:p>
            <w:r>
              <w:rPr>
                <w:rFonts w:ascii="Inter" w:hAnsi="Inter"/>
                <w:b w:val="0"/>
                <w:i w:val="0"/>
                <w:color w:val="111418"/>
                <w:sz w:val="20"/>
              </w:rPr>
            </w:r>
          </w:p>
        </w:tc>
      </w:tr>
    </w:tbl>
    <w:p>
      <w:pPr>
        <w:pStyle w:val="Heading2"/>
        <w:spacing w:before="440" w:after="120" w:line="252" w:lineRule="auto"/>
      </w:pPr>
      <w:r>
        <w:rPr>
          <w:rFonts w:ascii="Cormorant Garamond" w:hAnsi="Cormorant Garamond"/>
          <w:b/>
          <w:i w:val="0"/>
          <w:color w:val="061326"/>
          <w:sz w:val="34"/>
        </w:rPr>
        <w:t>VIP Lift Nigeria contact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061326"/>
            <w:tcMar>
              <w:top w:w="240" w:type="dxa"/>
              <w:start w:w="220" w:type="dxa"/>
              <w:bottom w:w="240" w:type="dxa"/>
              <w:end w:w="220" w:type="dxa"/>
            </w:tcMar>
          </w:tcPr>
          <w:p>
            <w:r>
              <w:rPr>
                <w:rFonts w:ascii="Cormorant Garamond" w:hAnsi="Cormorant Garamond"/>
                <w:b/>
                <w:i w:val="0"/>
                <w:color w:val="FFFFFF"/>
                <w:sz w:val="28"/>
              </w:rPr>
              <w:t>Alex Morgan</w:t>
              <w:br/>
              <w:t>Client Solutions Director</w:t>
            </w:r>
          </w:p>
        </w:tc>
        <w:tc>
          <w:tcPr>
            <w:tcW w:type="dxa" w:w="4819"/>
            <w:shd w:fill="F3F5F5"/>
            <w:tcMar>
              <w:top w:w="240" w:type="dxa"/>
              <w:start w:w="220" w:type="dxa"/>
              <w:bottom w:w="240" w:type="dxa"/>
              <w:end w:w="220" w:type="dxa"/>
            </w:tcMar>
          </w:tcPr>
          <w:p>
            <w:r>
              <w:rPr>
                <w:rFonts w:ascii="Inter" w:hAnsi="Inter"/>
                <w:b w:val="0"/>
                <w:i w:val="0"/>
                <w:color w:val="111418"/>
                <w:sz w:val="19"/>
              </w:rPr>
              <w:t>+234 809 555 0148</w:t>
              <w:br/>
              <w:t>alex.morgan@viplift.example</w:t>
              <w:br/>
              <w:t>www.viplift.example</w:t>
            </w:r>
          </w:p>
        </w:tc>
      </w:tr>
    </w:tbl>
    <w:sectPr w:rsidR="00FC693F" w:rsidRPr="0006063C" w:rsidSect="00034616">
      <w:headerReference w:type="default" r:id="rId10"/>
      <w:footerReference w:type="default" r:id="rId11"/>
      <w:pgSz w:w="11906" w:h="16838"/>
      <w:pgMar w:top="1247" w:right="1134" w:bottom="1077" w:left="113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/>
        <w:b w:val="0"/>
        <w:i w:val="0"/>
        <w:color w:val="A8ADB3"/>
        <w:sz w:val="15"/>
      </w:rPr>
      <w:t>VIP Lift Nigeria Limited  •  +234 809 555 0148  •  hello@viplift.example  •  www.viplift.example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082"/>
      <w:gridCol w:w="5556"/>
    </w:tblGrid>
    <w:tr>
      <w:tc>
        <w:tcPr>
          <w:tcW w:type="dxa" w:w="4819"/>
          <w:tcMar>
            <w:top w:w="0" w:type="dxa"/>
            <w:start w:w="0" w:type="dxa"/>
            <w:bottom w:w="80" w:type="dxa"/>
            <w:end w:w="0" w:type="dxa"/>
          </w:tcMar>
          <w:tcBorders>
            <w:bottom w:val="single" w:sz="5" w:color="168A55"/>
          </w:tcBorders>
        </w:tcPr>
        <w:p>
          <w:r>
            <w:drawing>
              <wp:inline xmlns:a="http://schemas.openxmlformats.org/drawingml/2006/main" xmlns:pic="http://schemas.openxmlformats.org/drawingml/2006/picture">
                <wp:extent cx="1872000" cy="59115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vip-lift-nigeria-horizontal-navy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2000" cy="59115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19"/>
          <w:tcMar>
            <w:top w:w="0" w:type="dxa"/>
            <w:start w:w="0" w:type="dxa"/>
            <w:bottom w:w="80" w:type="dxa"/>
            <w:end w:w="0" w:type="dxa"/>
          </w:tcMar>
          <w:tcBorders>
            <w:bottom w:val="single" w:sz="5" w:color="168A55"/>
          </w:tcBorders>
        </w:tcPr>
        <w:p>
          <w:pPr>
            <w:jc w:val="right"/>
          </w:pPr>
          <w:r>
            <w:rPr>
              <w:rFonts w:ascii="Montserrat" w:hAnsi="Montserrat"/>
              <w:b/>
              <w:i w:val="0"/>
              <w:color w:val="A8ADB3"/>
              <w:sz w:val="16"/>
            </w:rPr>
            <w:t>QUOTATION &amp; PROJECT PROPOSAL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Input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Inter" w:hAnsi="Inter"/>
      <w:color w:val="11141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ormorant Garamond" w:hAnsi="Cormorant Garamond"/>
      <w:b/>
      <w:bCs/>
      <w:color w:val="061326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Cormorant Garamond" w:hAnsi="Cormorant Garamond"/>
      <w:b/>
      <w:bCs/>
      <w:color w:val="061326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Inter" w:hAnsi="Inter"/>
      <w:b/>
      <w:bCs/>
      <w:color w:val="061326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83" w:lineRule="auto"/>
      <w:ind w:left="369" w:hanging="181"/>
      <w:contextualSpacing/>
    </w:pPr>
    <w:rPr>
      <w:rFonts w:ascii="Inter" w:hAnsi="Inter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Input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