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left="0" w:right="0"/>
        <w:jc w:val="left"/>
        <w:rPr>
          <w:rFonts w:ascii="Arial-BoldMT" w:hAnsi="Arial-BoldMT" w:eastAsia="Arial-BoldMT" w:cs="Arial-BoldMT"/>
          <w:b/>
          <w:bCs/>
          <w:color w:val="000000"/>
          <w:sz w:val="40"/>
          <w:szCs w:val="40"/>
        </w:rPr>
      </w:pPr>
      <w:r>
        <w:rPr>
          <w:rFonts w:eastAsia="Arial-BoldMT" w:cs="Arial-BoldMT" w:ascii="Arial-BoldMT" w:hAnsi="Arial-BoldMT"/>
          <w:b/>
          <w:bCs/>
          <w:color w:val="000000"/>
          <w:sz w:val="40"/>
          <w:szCs w:val="40"/>
        </w:rPr>
        <w:t>AI Hype Cycles and Stock Market Behavior</w:t>
      </w:r>
    </w:p>
    <w:p>
      <w:pPr>
        <w:pStyle w:val="Normal"/>
        <w:widowControl/>
        <w:bidi w:val="0"/>
        <w:spacing w:before="0" w:after="0"/>
        <w:ind w:hanging="0" w:left="0" w:right="0"/>
        <w:jc w:val="left"/>
        <w:rPr>
          <w:rFonts w:ascii="ArialMT" w:hAnsi="ArialMT" w:eastAsia="ArialMT" w:cs="ArialMT"/>
          <w:color w:val="434343"/>
          <w:sz w:val="26"/>
          <w:szCs w:val="26"/>
        </w:rPr>
      </w:pPr>
      <w:r>
        <w:rPr>
          <w:rFonts w:eastAsia="ArialMT" w:cs="ArialMT" w:ascii="ArialMT" w:hAnsi="ArialMT"/>
          <w:color w:val="434343"/>
          <w:sz w:val="26"/>
          <w:szCs w:val="26"/>
        </w:rPr>
        <w:t>DSA210 Term Project — Final Report</w:t>
      </w:r>
    </w:p>
    <w:p>
      <w:pPr>
        <w:pStyle w:val="Normal"/>
        <w:widowControl/>
        <w:bidi w:val="0"/>
        <w:spacing w:before="0" w:after="0"/>
        <w:ind w:hanging="0" w:left="0" w:right="0"/>
        <w:jc w:val="left"/>
        <w:rPr>
          <w:rFonts w:ascii="ArialMT" w:hAnsi="ArialMT" w:eastAsia="ArialMT" w:cs="ArialMT"/>
          <w:color w:val="434343"/>
          <w:sz w:val="24"/>
          <w:szCs w:val="24"/>
        </w:rPr>
      </w:pPr>
      <w:r>
        <w:rPr>
          <w:rFonts w:eastAsia="ArialMT" w:cs="ArialMT" w:ascii="ArialMT" w:hAnsi="ArialMT"/>
          <w:color w:val="434343"/>
          <w:sz w:val="24"/>
          <w:szCs w:val="24"/>
        </w:rPr>
        <w:t>Hasan Demirhan Durmaz  |  Sabanci University</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Motivation</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rise of large language models and generative AI tools has coincided with extraordinary movements in the stock prices of technology companies. NVIDIA's market capitalization grew from roughly 300 billion USD in early 2022 to over two trillion USD by mid-2024, a trajectory that is difficult to explain through traditional fundamental analysis alone. During the same period, public interest in artificial intelligence — as measured by Google search trends and Reddit activity — surged dramatically around key product launches such as ChatGPT, GPT-4, and DALL-E 2.</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This project investigates whether AI hype, as captured through publicly observable signals, has a measurable and statistically significant relationship with stock market behavior in AI-exposed companies. The central question is not simply whether hype and prices move together — visual inspection suggests they do — but whether this co-movement reflects a deeper pattern of sentiment-driven price action that can be detected and partially modeled using data science methods.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companies under study are NVIDIA (NVDA), Microsoft (MSFT), and Apple (AAPL). These three represent distinct exposure profiles: NVDA is directly tied to AI hardware infrastructure, MSFT has made large strategic bets on OpenAI and AI integration into its products, and AAPL serves as a relative baseline with more indirect AI exposure. Comparing all three allows the analysis to distinguish AI-specific effects from broader technology sector movements.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Datasets and Data Enrichment</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analysis integrates three independent data sources, each capturing a different dimension of the AI hype and market behavior relationship.</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Stock market data are collected using the yfinance Python library, retrieving daily closing prices for NVDA, MSFT, and AAPL from January 2020 through December 2024. From raw prices, daily log returns and 20-day rolling volatility are computed for each ticker. Log returns are used throughout the analysis because they are approximately normally distributed and additive over time, which simplifies both statistical testing and model interpretation.</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Google Trends data are collected via the pytrends library, querying weekly search interest for the terms 'artificial intelligence', 'ChatGPT', 'machine learning', and 'Nvidia AI'. Raw weekly scores are interpolated to daily frequency and normalized to the [0, 1] range. The resulting series captures aggregate public curiosity about AI topics over time and shows clear spikes around major product launch events.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Reddit mention data are collected using the Reddit JSON API, counting daily post volumes in four subreddits: r/MachineLearning, r/artificial, r/stocks, and r/investing. Posts mentioning AI-related keywords are counted and normalized. This provides an independent measure of AI discussion intensity from a different population than Google search users.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Data enrichment is achieved by merging all three sources at the daily level and constructing a composite Hype Index as a weighted average of the normalized Google Trends and Reddit signals. This single-number summary of daily AI hype intensity is the primary explanatory variable throughout the analysis. Feature engineering steps include lagged hype values at 1, 5, and 20 trading days, a 5-day hype momentum measure, and a binary indicator marking days in the top 25th percentile of the hype distribution as 'high-hype periods'.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Final Dataset</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After merging and cleaning, the final dataset contains daily observations from January 2020 through December 2024, covering approximately 1,200 trading days after removing rows with missing values introduced by lagging and forward-return calculations. The train-test split preserves chronological order (80% train, 20% test) rather than random sampling, which is essential for time series data where future information must not contaminate training.</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Key variables in the final dataset include: daily closing prices and log returns for NVDA, MSFT, and AAPL; 20-day rolling volatility for each ticker; the composite Hype Index and its Google and Reddit components; lagged hype features at 1, 5, and 20 days; hype momentum; 5-day forward returns as regression targets; and the binary is_hype_period classification label. Seven major AI product launch events are also annotated in the dataset as point markers for event study analysis.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Hypothesis Testing</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hypothesis testing component asks four structured questions about the relationship between AI hype and stock market behavior, using formal statistical tests with pre-specified significance thresholds.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first hypothesis tests whether days classified as high-hype periods are associated with significantly higher stock returns compared to normal days. Welch t-tests (which do not assume equal variance) are applied separately for each ticker. Results show statistically significant positive return differences for NVDA during high-hype periods, with weaker and less consistent effects for MSFT and AAPL. This is consistent with NVDA's direct exposure to AI hardware demand.</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second hypothesis tests whether hype periods are associated with elevated market volatility. Levene's test for equality of variances is applied to the return distributions across hype and non-hype periods. The results are consistent across all three tickers: hype periods show significantly higher volatility, confirming that AI excitement does not merely shift the average return upward but amplifies the entire distribution of outcomes.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third hypothesis examines whether lagged hype predicts next-day returns — a Granger causality-style test implemented through Pearson correlations between hype at time t and returns at time t+1. The correlations are statistically significant but small in magnitude, suggesting predictive power exists at the linear level but is economically modest.</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fourth hypothesis uses an event study framework to test whether cumulative abnormal returns (CAR) around the seven identified AI launch events are statistically different from zero. A one-sample t-test of the CAR distribution across events shows significant positive abnormal returns in the 5-day window following each event, with NVDA showing the largest and most consistent response.</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Machine Learning Models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machine learning component extends the hypothesis testing findings by asking whether the patterns detected statistically can be exploited predictively, and what the nonlinear structure of the hype-market relationship looks like.</w:t>
      </w:r>
    </w:p>
    <w:p>
      <w:pPr>
        <w:pStyle w:val="Normal"/>
        <w:widowControl/>
        <w:bidi w:val="0"/>
        <w:spacing w:before="200" w:after="120"/>
        <w:ind w:hanging="0" w:left="0" w:right="0"/>
        <w:jc w:val="left"/>
        <w:rPr>
          <w:rFonts w:ascii="Arial-BoldMT" w:hAnsi="Arial-BoldMT" w:eastAsia="Arial-BoldMT" w:cs="Arial-BoldMT"/>
          <w:b/>
          <w:bCs/>
          <w:color w:val="000000"/>
          <w:sz w:val="28"/>
          <w:szCs w:val="28"/>
        </w:rPr>
      </w:pPr>
      <w:r>
        <w:rPr>
          <w:rFonts w:eastAsia="Arial-BoldMT" w:cs="Arial-BoldMT" w:ascii="Arial-BoldMT" w:hAnsi="Arial-BoldMT"/>
          <w:b/>
          <w:bCs/>
          <w:color w:val="000000"/>
          <w:sz w:val="28"/>
          <w:szCs w:val="28"/>
        </w:rPr>
        <w:t>Regression</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Linear regression models (OLS, Ridge, Lasso) are applied to predict 5-day forward returns for each ticker using hype features alone. R-squared values are very low across all three tickers and all three model variants. This is not a failure of the approach — it is a meaningful finding. Market efficiency implies that any linear, publicly observable predictor of returns should be quickly arbitraged away. The near-zero R-squared values confirm that hype features alone cannot form the basis of a profitable linear trading strategy, even though hype and returns are statistically correlated.</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Lasso regularization provides an additional insight: it tends to zero out the longer-lag hype features (20-day lag), retaining only recent hype signals. This suggests that whatever predictive content hype contains decays quickly, consistent with the attention-driven nature of sentiment signals. Coefficient analysis across all three tickers confirms that NVDA shows the largest coefficient on current hype, while AAPL shows the smallest.</w:t>
      </w:r>
    </w:p>
    <w:p>
      <w:pPr>
        <w:pStyle w:val="Normal"/>
        <w:widowControl/>
        <w:bidi w:val="0"/>
        <w:spacing w:before="200" w:after="120"/>
        <w:ind w:hanging="0" w:left="0" w:right="0"/>
        <w:jc w:val="left"/>
        <w:rPr>
          <w:rFonts w:ascii="Arial-BoldMT" w:hAnsi="Arial-BoldMT" w:eastAsia="Arial-BoldMT" w:cs="Arial-BoldMT"/>
          <w:b/>
          <w:bCs/>
          <w:color w:val="000000"/>
          <w:sz w:val="28"/>
          <w:szCs w:val="28"/>
        </w:rPr>
      </w:pPr>
      <w:r>
        <w:rPr>
          <w:rFonts w:eastAsia="Arial-BoldMT" w:cs="Arial-BoldMT" w:ascii="Arial-BoldMT" w:hAnsi="Arial-BoldMT"/>
          <w:b/>
          <w:bCs/>
          <w:color w:val="000000"/>
          <w:sz w:val="28"/>
          <w:szCs w:val="28"/>
        </w:rPr>
        <w:t>Classification</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Classification models target the binary is_hype_period label, using the full feature set including both hype signals and stock return and volatility features. All models are evaluated using the same stratified 5-fold cross-validation protocol, reporting CV AUC mean and standard deviation alongside test set accuracy and AUC.</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Logistic regression establishes a linear baseline with solid but not exceptional performance. K-nearest neighbors is tuned via CV sweep over k values and performs moderately — it captures some local structure but struggles with the noisy daily data. The single decision tree reveals interpretable rules, with the first splits consistently occurring on volatility and recent hype features, confirming that these are the most discriminative variables.</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Ensemble methods consistently outperform all individual models. Random Forest and Gradient Boosted Decision Trees both achieve substantially higher CV AUC scores than logistic regression or the single tree. Feature importance analysis from the Random Forest places NVDA volatility and the composite hype index at the top of the ranking, reinforcing the finding that hype periods are fundamentally high-volatility regimes. The voting ensemble (soft vote combining logistic regression, random forest, and gradient boosting) matches or exceeds the best individual model, confirming that the three base models make partially independent errors.</w:t>
      </w:r>
    </w:p>
    <w:p>
      <w:pPr>
        <w:pStyle w:val="Normal"/>
        <w:widowControl/>
        <w:bidi w:val="0"/>
        <w:spacing w:before="200" w:after="120"/>
        <w:ind w:hanging="0" w:left="0" w:right="0"/>
        <w:jc w:val="left"/>
        <w:rPr>
          <w:rFonts w:ascii="Arial-BoldMT" w:hAnsi="Arial-BoldMT" w:eastAsia="Arial-BoldMT" w:cs="Arial-BoldMT"/>
          <w:b/>
          <w:bCs/>
          <w:color w:val="000000"/>
          <w:sz w:val="28"/>
          <w:szCs w:val="28"/>
        </w:rPr>
      </w:pPr>
      <w:r>
        <w:rPr>
          <w:rFonts w:eastAsia="Arial-BoldMT" w:cs="Arial-BoldMT" w:ascii="Arial-BoldMT" w:hAnsi="Arial-BoldMT"/>
          <w:b/>
          <w:bCs/>
          <w:color w:val="000000"/>
          <w:sz w:val="28"/>
          <w:szCs w:val="28"/>
        </w:rPr>
        <w:t>Clustering</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Unsupervised clustering is applied to the hype features and NVDA return and volatility, setting aside the labels entirely. K-means clustering with k selected by silhouette score naturally separates the data into regimes that correspond closely to identifiable periods in the AI hype narrative: a pre-ChatGPT calm period with low hype and moderate volatility, a hype surge period concentrated around late 2022 through 2023 characterized by high hype and elevated NVDA returns, and a post-peak normalization period.</w:t>
      </w:r>
    </w:p>
    <w:p>
      <w:pPr>
        <w:pStyle w:val="Normal"/>
        <w:widowControl/>
        <w:bidi w:val="0"/>
        <w:spacing w:before="200" w:after="12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Hierarchical clustering with Ward linkage produces a dendrogram whose structure confirms a natural two-to-three cluster solution at the major branch points. The adjusted Rand index comparing K-means and hierarchical cluster assignments is high, indicating that both methods recover similar underlying structure. The cluster containing the highest fraction of labeled hype-period days also shows the highest average NVDA volatility, connecting the unsupervised and supervised analyses.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Results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Across all methods, the results tell a consistent story. AI hype, as measured through Google Trends and Reddit signals, is meaningfully related to stock market behavior in AI-exposed companies — but the relationship is nonlinear, noisy, and regime-dependent.</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NVDA shows the strongest and most consistent relationship across all analyses: higher hype-period returns, larger abnormal returns around launch events, the highest regression coefficients, and the strongest feature importance scores in ensemble models. MSFT shows moderate effects, and AAPL shows the weakest, consistent with the expected exposure ordering.</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key asymmetry between regression and classification results is informative. Linear regression explains almost no variance in forward returns, but classification models achieve AUC scores substantially above 0.5 when predicting hype regimes. This suggests that the hype-market relationship is not a simple linear mapping from hype to return, but a more complex interaction involving volatility, momentum, and cross-asset dynamics that tree-based models can partially capture.</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clustering results provide a useful reframing: rather than asking whether hype affects returns on a day-by-day basis, the more appropriate question may be whether the market is in a hype-driven regime or not. The regime structure is stable enough that unsupervised methods recover it without any labels.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Summary</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This project demonstrates that AI hype cycles leave a detectable and statistically significant footprint in equity markets. Public interest in artificial intelligence, as measured through Google search volume and Reddit activity, is associated with elevated returns and volatility in AI-exposed stocks — particularly NVIDIA — around major AI product launch events.</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combination of hypothesis testing and machine learning provides a complementary perspective. Hypothesis tests establish the existence and statistical significance of the relationships. Machine learning reveals their nonlinear structure and identifies which features carry the most predictive information. Clustering confirms that the data has a natural regime structure aligned with the hype narrative.</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The findings support the interpretation that AI hype contributes to sentiment-driven price movements that are distinct from fundamental valuation changes — consistent with a behavioral finance view of speculative episodes in technology markets.</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Limitations and Future Work</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Several limitations should be acknowledged. The analysis is observational and cannot establish causal direction: hype may drive prices, prices may drive hype, or both may be driven by underlying fundamental news. The Google Trends and Reddit signals are imperfect proxies for investor sentiment and conflate genuine information with noise. The sample period, while covering several years, includes only one major AI hype cycle, limiting generalizability.</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Future work could incorporate more granular data sources such as earnings call transcripts, news sentiment scores, or options market implied volatility to better isolate the sentiment channel. Causal inference techniques including instrumental variables or difference-in-differences designs could help establish directional claims. Extending the analysis to a broader set of AI-adjacent equities or to international markets would test whether the patterns found here are specific to the US technology sector or more general.</w:t>
      </w:r>
    </w:p>
    <w:p>
      <w:pPr>
        <w:pStyle w:val="Normal"/>
        <w:widowControl/>
        <w:bidi w:val="0"/>
        <w:spacing w:before="280" w:after="160"/>
        <w:ind w:hanging="0" w:left="0" w:right="0"/>
        <w:jc w:val="left"/>
        <w:rPr>
          <w:rFonts w:ascii="Arial-BoldMT" w:hAnsi="Arial-BoldMT" w:eastAsia="Arial-BoldMT" w:cs="Arial-BoldMT"/>
          <w:b/>
          <w:bCs/>
          <w:color w:val="000000"/>
          <w:sz w:val="32"/>
          <w:szCs w:val="32"/>
        </w:rPr>
      </w:pPr>
      <w:r>
        <w:rPr>
          <w:rFonts w:eastAsia="Arial-BoldMT" w:cs="Arial-BoldMT" w:ascii="Arial-BoldMT" w:hAnsi="Arial-BoldMT"/>
          <w:b/>
          <w:bCs/>
          <w:color w:val="000000"/>
          <w:sz w:val="32"/>
          <w:szCs w:val="32"/>
        </w:rPr>
        <w:t>Usage of LLMs and AI</w:t>
      </w:r>
    </w:p>
    <w:p>
      <w:pPr>
        <w:pStyle w:val="Normal"/>
        <w:widowControl/>
        <w:bidi w:val="0"/>
        <w:spacing w:before="280" w:after="160"/>
        <w:ind w:hanging="0" w:left="0" w:right="0"/>
        <w:jc w:val="left"/>
        <w:rPr>
          <w:rFonts w:ascii="ArialMT" w:hAnsi="ArialMT" w:eastAsia="ArialMT" w:cs="ArialMT"/>
          <w:color w:val="000000"/>
          <w:sz w:val="24"/>
          <w:szCs w:val="24"/>
        </w:rPr>
      </w:pPr>
      <w:r>
        <w:rPr>
          <w:rFonts w:eastAsia="ArialMT" w:cs="ArialMT" w:ascii="ArialMT" w:hAnsi="ArialMT"/>
          <w:color w:val="000000"/>
          <w:sz w:val="24"/>
          <w:szCs w:val="24"/>
        </w:rPr>
        <w:t>AI tools, including large language models, were used to assist with code debugging. All analytical decisions — including the choice of hypotheses, test statistics, model architectures, feature engineering steps, and interpretations — remain the responsibility of the author. AI assistance was limited to implementation support and does not replace original analysis or independent judgment.</w:t>
      </w:r>
    </w:p>
    <w:sectPr>
      <w:type w:val="nextPage"/>
      <w:pgSz w:w="11900" w:h="16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BoldMT">
    <w:charset w:val="00"/>
    <w:family w:val="auto"/>
    <w:pitch w:val="default"/>
  </w:font>
  <w:font w:name="ArialMT">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