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0"/>
          <w:szCs w:val="40"/>
        </w:rPr>
        <w:t xml:space="preserve">AI Hype Cycles and Stock Market Behavior</w:t>
      </w:r>
    </w:p>
    <w:p>
      <w:pPr>
        <w:spacing w:after="80"/>
        <w:jc w:val="center"/>
      </w:pPr>
      <w:r>
        <w:rPr>
          <w:rFonts w:ascii="Arial" w:cs="Arial" w:eastAsia="Arial" w:hAnsi="Arial"/>
          <w:color w:val="444444"/>
          <w:sz w:val="26"/>
          <w:szCs w:val="26"/>
        </w:rPr>
        <w:t xml:space="preserve">DSA210 Term Project — Final Report</w:t>
      </w:r>
    </w:p>
    <w:p>
      <w:pPr>
        <w:spacing w:after="400"/>
        <w:jc w:val="center"/>
      </w:pPr>
      <w:r>
        <w:rPr>
          <w:rFonts w:ascii="Arial" w:cs="Arial" w:eastAsia="Arial" w:hAnsi="Arial"/>
          <w:color w:val="444444"/>
          <w:sz w:val="24"/>
          <w:szCs w:val="24"/>
        </w:rPr>
        <w:t xml:space="preserve">Hasan Demirhan Durmaz  |  Sabanci University</w:t>
      </w:r>
    </w:p>
    <w:p>
      <w:pPr>
        <w:pStyle w:val="Heading1"/>
      </w:pPr>
      <w:r>
        <w:rPr>
          <w:rFonts w:ascii="Arial" w:cs="Arial" w:eastAsia="Arial" w:hAnsi="Arial"/>
          <w:b/>
          <w:bCs/>
          <w:sz w:val="32"/>
          <w:szCs w:val="32"/>
        </w:rPr>
        <w:t xml:space="preserve">Motivation</w:t>
      </w:r>
    </w:p>
    <w:p>
      <w:pPr>
        <w:spacing w:after="160"/>
      </w:pPr>
      <w:r>
        <w:rPr>
          <w:rFonts w:ascii="Arial" w:cs="Arial" w:eastAsia="Arial" w:hAnsi="Arial"/>
          <w:sz w:val="24"/>
          <w:szCs w:val="24"/>
        </w:rPr>
        <w:t xml:space="preserve">The rise of large language models and generative AI tools has coincided with extraordinary movements in the stock prices of technology companies. NVIDIA's market capitalization grew from roughly 300 billion USD in early 2022 to over two trillion USD by mid-2024, a trajectory that is difficult to explain through traditional fundamental analysis alone. During the same period, public interest in artificial intelligence — as measured by Google search trends and Reddit activity — surged dramatically around key product launches such as ChatGPT, GPT-4, and DALL-E 2.</w:t>
      </w:r>
    </w:p>
    <w:p>
      <w:pPr>
        <w:spacing w:after="160"/>
      </w:pPr>
      <w:r>
        <w:rPr>
          <w:rFonts w:ascii="Arial" w:cs="Arial" w:eastAsia="Arial" w:hAnsi="Arial"/>
          <w:sz w:val="24"/>
          <w:szCs w:val="24"/>
        </w:rPr>
        <w:t xml:space="preserve">This project investigates whether AI hype, as captured through publicly observable signals, has a measurable and statistically significant relationship with stock market behavior in AI-exposed companies. The central question is not simply whether hype and prices move together — visual inspection suggests they do — but whether this co-movement reflects a deeper pattern of sentiment-driven price action that can be detected and partially modeled using data science methods.</w:t>
      </w:r>
    </w:p>
    <w:p>
      <w:pPr>
        <w:spacing w:after="160"/>
      </w:pPr>
      <w:r>
        <w:rPr>
          <w:rFonts w:ascii="Arial" w:cs="Arial" w:eastAsia="Arial" w:hAnsi="Arial"/>
          <w:sz w:val="24"/>
          <w:szCs w:val="24"/>
        </w:rPr>
        <w:t xml:space="preserve">The companies under study are NVIDIA (NVDA), Microsoft (MSFT), and Apple (AAPL). These three represent distinct exposure profiles: NVDA is directly tied to AI hardware infrastructure, MSFT has made large strategic bets on OpenAI and AI integration into its products, and AAPL serves as a relative baseline with more indirect AI exposure. Comparing all three allows the analysis to distinguish AI-specific effects from broader technology sector movements.</w:t>
      </w:r>
    </w:p>
    <w:p>
      <w:pPr>
        <w:pStyle w:val="Heading1"/>
      </w:pPr>
      <w:r>
        <w:rPr>
          <w:rFonts w:ascii="Arial" w:cs="Arial" w:eastAsia="Arial" w:hAnsi="Arial"/>
          <w:b/>
          <w:bCs/>
          <w:sz w:val="32"/>
          <w:szCs w:val="32"/>
        </w:rPr>
        <w:t xml:space="preserve">Datasets and Data Enrichment</w:t>
      </w:r>
    </w:p>
    <w:p>
      <w:pPr>
        <w:spacing w:after="160"/>
      </w:pPr>
      <w:r>
        <w:rPr>
          <w:rFonts w:ascii="Arial" w:cs="Arial" w:eastAsia="Arial" w:hAnsi="Arial"/>
          <w:sz w:val="24"/>
          <w:szCs w:val="24"/>
        </w:rPr>
        <w:t xml:space="preserve">The analysis integrates three independent data sources, each capturing a different dimension of the AI hype and market behavior relationship.</w:t>
      </w:r>
    </w:p>
    <w:p>
      <w:pPr>
        <w:spacing w:after="160"/>
      </w:pPr>
      <w:r>
        <w:rPr>
          <w:rFonts w:ascii="Arial" w:cs="Arial" w:eastAsia="Arial" w:hAnsi="Arial"/>
          <w:sz w:val="24"/>
          <w:szCs w:val="24"/>
        </w:rPr>
        <w:t xml:space="preserve">Stock market data are collected using the yfinance Python library, retrieving daily closing prices for NVDA, MSFT, and AAPL from January 2020 through December 2024. From raw prices, daily log returns and 20-day rolling volatility are computed for each ticker. Log returns are used throughout the analysis because they are approximately normally distributed and additive over time, which simplifies both statistical testing and model interpretation.</w:t>
      </w:r>
    </w:p>
    <w:p>
      <w:pPr>
        <w:spacing w:after="160"/>
      </w:pPr>
      <w:r>
        <w:rPr>
          <w:rFonts w:ascii="Arial" w:cs="Arial" w:eastAsia="Arial" w:hAnsi="Arial"/>
          <w:sz w:val="24"/>
          <w:szCs w:val="24"/>
        </w:rPr>
        <w:t xml:space="preserve">Google Trends data are collected via the pytrends library, querying weekly search interest for the terms 'artificial intelligence', 'ChatGPT', 'machine learning', and 'Nvidia AI'. Raw weekly scores are interpolated to daily frequency and normalized to the [0, 1] range. The resulting series captures aggregate public curiosity about AI topics over time and shows clear spikes around major product launch events.</w:t>
      </w:r>
    </w:p>
    <w:p>
      <w:pPr>
        <w:spacing w:after="160"/>
      </w:pPr>
      <w:r>
        <w:rPr>
          <w:rFonts w:ascii="Arial" w:cs="Arial" w:eastAsia="Arial" w:hAnsi="Arial"/>
          <w:sz w:val="24"/>
          <w:szCs w:val="24"/>
        </w:rPr>
        <w:t xml:space="preserve">Reddit mention data are collected using the Reddit JSON API, counting daily post volumes in four subreddits: r/MachineLearning, r/artificial, r/stocks, and r/investing. Posts mentioning AI-related keywords are counted and normalized. This provides an independent measure of AI discussion intensity from a different population than Google search users.</w:t>
      </w:r>
    </w:p>
    <w:p>
      <w:pPr>
        <w:spacing w:after="160"/>
      </w:pPr>
      <w:r>
        <w:rPr>
          <w:rFonts w:ascii="Arial" w:cs="Arial" w:eastAsia="Arial" w:hAnsi="Arial"/>
          <w:sz w:val="24"/>
          <w:szCs w:val="24"/>
        </w:rPr>
        <w:t xml:space="preserve">Data enrichment is achieved by merging all three sources at the daily level and constructing a composite Hype Index as a weighted average of the normalized Google Trends and Reddit signals. This single-number summary of daily AI hype intensity is the primary explanatory variable throughout the analysis. Feature engineering steps include lagged hype values at 1, 5, and 20 trading days, a 5-day hype momentum measure, and a binary indicator marking days in the top 25th percentile of the hype distribution as 'high-hype periods'.</w:t>
      </w:r>
    </w:p>
    <w:p>
      <w:pPr>
        <w:pStyle w:val="Heading1"/>
      </w:pPr>
      <w:r>
        <w:rPr>
          <w:rFonts w:ascii="Arial" w:cs="Arial" w:eastAsia="Arial" w:hAnsi="Arial"/>
          <w:b/>
          <w:bCs/>
          <w:sz w:val="32"/>
          <w:szCs w:val="32"/>
        </w:rPr>
        <w:t xml:space="preserve">Final Dataset</w:t>
      </w:r>
    </w:p>
    <w:p>
      <w:pPr>
        <w:spacing w:after="160"/>
      </w:pPr>
      <w:r>
        <w:rPr>
          <w:rFonts w:ascii="Arial" w:cs="Arial" w:eastAsia="Arial" w:hAnsi="Arial"/>
          <w:sz w:val="24"/>
          <w:szCs w:val="24"/>
        </w:rPr>
        <w:t xml:space="preserve">After merging and cleaning, the final dataset contains daily observations from January 2020 through December 2024, covering approximately 1,200 trading days after removing rows with missing values introduced by lagging and forward-return calculations. The train-test split preserves chronological order (80% train, 20% test) rather than random sampling, which is essential for time series data where future information must not contaminate training.</w:t>
      </w:r>
    </w:p>
    <w:p>
      <w:pPr>
        <w:spacing w:after="160"/>
      </w:pPr>
      <w:r>
        <w:rPr>
          <w:rFonts w:ascii="Arial" w:cs="Arial" w:eastAsia="Arial" w:hAnsi="Arial"/>
          <w:sz w:val="24"/>
          <w:szCs w:val="24"/>
        </w:rPr>
        <w:t xml:space="preserve">Key variables in the final dataset include: daily closing prices and log returns for NVDA, MSFT, and AAPL; 20-day rolling volatility for each ticker; the composite Hype Index and its Google and Reddit components; lagged hype features at 1, 5, and 20 days; hype momentum; 5-day forward returns as regression targets; and the binary is_hype_period classification label. Seven major AI product launch events are also annotated in the dataset as point markers for event study analysis.</w:t>
      </w:r>
    </w:p>
    <w:p>
      <w:pPr>
        <w:pStyle w:val="Heading1"/>
      </w:pPr>
      <w:r>
        <w:rPr>
          <w:rFonts w:ascii="Arial" w:cs="Arial" w:eastAsia="Arial" w:hAnsi="Arial"/>
          <w:b/>
          <w:bCs/>
          <w:sz w:val="32"/>
          <w:szCs w:val="32"/>
        </w:rPr>
        <w:t xml:space="preserve">Hypothesis Testing</w:t>
      </w:r>
    </w:p>
    <w:p>
      <w:pPr>
        <w:spacing w:after="160"/>
      </w:pPr>
      <w:r>
        <w:rPr>
          <w:rFonts w:ascii="Arial" w:cs="Arial" w:eastAsia="Arial" w:hAnsi="Arial"/>
          <w:sz w:val="24"/>
          <w:szCs w:val="24"/>
        </w:rPr>
        <w:t xml:space="preserve">The hypothesis testing component asks four structured questions about the relationship between AI hype and stock market behavior, using formal statistical tests with pre-specified significance thresholds.</w:t>
      </w:r>
    </w:p>
    <w:p>
      <w:pPr>
        <w:spacing w:after="160"/>
      </w:pPr>
      <w:r>
        <w:rPr>
          <w:rFonts w:ascii="Arial" w:cs="Arial" w:eastAsia="Arial" w:hAnsi="Arial"/>
          <w:sz w:val="24"/>
          <w:szCs w:val="24"/>
        </w:rPr>
        <w:t xml:space="preserve">The first hypothesis tests whether days classified as high-hype periods are associated with significantly higher stock returns compared to normal days. Welch t-tests (which do not assume equal variance) are applied separately for each ticker. Results show statistically significant positive return differences for NVDA during high-hype periods, with weaker and less consistent effects for MSFT and AAPL. This is consistent with NVDA's direct exposure to AI hardware demand.</w:t>
      </w:r>
    </w:p>
    <w:p>
      <w:pPr>
        <w:spacing w:after="160"/>
      </w:pPr>
      <w:r>
        <w:rPr>
          <w:rFonts w:ascii="Arial" w:cs="Arial" w:eastAsia="Arial" w:hAnsi="Arial"/>
          <w:sz w:val="24"/>
          <w:szCs w:val="24"/>
        </w:rPr>
        <w:t xml:space="preserve">The second hypothesis tests whether hype periods are associated with elevated market volatility. Levene's test for equality of variances is applied to the return distributions across hype and non-hype periods. The results are consistent across all three tickers: hype periods show significantly higher volatility, confirming that AI excitement does not merely shift the average return upward but amplifies the entire distribution of outcomes.</w:t>
      </w:r>
    </w:p>
    <w:p>
      <w:pPr>
        <w:spacing w:after="160"/>
      </w:pPr>
      <w:r>
        <w:rPr>
          <w:rFonts w:ascii="Arial" w:cs="Arial" w:eastAsia="Arial" w:hAnsi="Arial"/>
          <w:sz w:val="24"/>
          <w:szCs w:val="24"/>
        </w:rPr>
        <w:t xml:space="preserve">The third hypothesis examines whether lagged hype predicts next-day returns — a Granger causality-style test implemented through Pearson correlations between hype at time t and returns at time t+1. The correlations are statistically significant but small in magnitude, suggesting predictive power exists at the linear level but is economically modest.</w:t>
      </w:r>
    </w:p>
    <w:p>
      <w:pPr>
        <w:spacing w:after="160"/>
      </w:pPr>
      <w:r>
        <w:rPr>
          <w:rFonts w:ascii="Arial" w:cs="Arial" w:eastAsia="Arial" w:hAnsi="Arial"/>
          <w:sz w:val="24"/>
          <w:szCs w:val="24"/>
        </w:rPr>
        <w:t xml:space="preserve">The fourth hypothesis uses an event study framework to test whether cumulative abnormal returns (CAR) around the seven identified AI launch events are statistically different from zero. A one-sample t-test of the CAR distribution across events shows significant positive abnormal returns in the 5-day window following each event, with NVDA showing the largest and most consistent response.</w:t>
      </w:r>
    </w:p>
    <w:p>
      <w:pPr>
        <w:pStyle w:val="Heading1"/>
      </w:pPr>
      <w:r>
        <w:rPr>
          <w:rFonts w:ascii="Arial" w:cs="Arial" w:eastAsia="Arial" w:hAnsi="Arial"/>
          <w:b/>
          <w:bCs/>
          <w:sz w:val="32"/>
          <w:szCs w:val="32"/>
        </w:rPr>
        <w:t xml:space="preserve">Machine Learning Models</w:t>
      </w:r>
    </w:p>
    <w:p>
      <w:pPr>
        <w:spacing w:after="160"/>
      </w:pPr>
      <w:r>
        <w:rPr>
          <w:rFonts w:ascii="Arial" w:cs="Arial" w:eastAsia="Arial" w:hAnsi="Arial"/>
          <w:sz w:val="24"/>
          <w:szCs w:val="24"/>
        </w:rPr>
        <w:t xml:space="preserve">The machine learning component extends the hypothesis testing findings by asking whether the patterns detected statistically can be exploited predictively, and what the nonlinear structure of the hype-market relationship looks like.</w:t>
      </w:r>
    </w:p>
    <w:p>
      <w:pPr>
        <w:pStyle w:val="Heading2"/>
      </w:pPr>
      <w:r>
        <w:rPr>
          <w:rFonts w:ascii="Arial" w:cs="Arial" w:eastAsia="Arial" w:hAnsi="Arial"/>
          <w:b/>
          <w:bCs/>
          <w:sz w:val="28"/>
          <w:szCs w:val="28"/>
        </w:rPr>
        <w:t xml:space="preserve">Regression</w:t>
      </w:r>
    </w:p>
    <w:p>
      <w:pPr>
        <w:spacing w:after="160"/>
      </w:pPr>
      <w:r>
        <w:rPr>
          <w:rFonts w:ascii="Arial" w:cs="Arial" w:eastAsia="Arial" w:hAnsi="Arial"/>
          <w:sz w:val="24"/>
          <w:szCs w:val="24"/>
        </w:rPr>
        <w:t xml:space="preserve">Linear regression models (OLS, Ridge, Lasso) are applied to predict 5-day forward returns for each ticker using hype features alone. R-squared values are very low across all three tickers and all three model variants. This is not a failure of the approach — it is a meaningful finding. Market efficiency implies that any linear, publicly observable predictor of returns should be quickly arbitraged away. The near-zero R-squared values confirm that hype features alone cannot form the basis of a profitable linear trading strategy, even though hype and returns are statistically correlated.</w:t>
      </w:r>
    </w:p>
    <w:p>
      <w:pPr>
        <w:spacing w:after="160"/>
      </w:pPr>
      <w:r>
        <w:rPr>
          <w:rFonts w:ascii="Arial" w:cs="Arial" w:eastAsia="Arial" w:hAnsi="Arial"/>
          <w:sz w:val="24"/>
          <w:szCs w:val="24"/>
        </w:rPr>
        <w:t xml:space="preserve">Lasso regularization provides an additional insight: it tends to zero out the longer-lag hype features (20-day lag), retaining only recent hype signals. This suggests that whatever predictive content hype contains decays quickly, consistent with the attention-driven nature of sentiment signals. Coefficient analysis across all three tickers confirms that NVDA shows the largest coefficient on current hype, while AAPL shows the smallest.</w:t>
      </w:r>
    </w:p>
    <w:p>
      <w:pPr>
        <w:pStyle w:val="Heading2"/>
      </w:pPr>
      <w:r>
        <w:rPr>
          <w:rFonts w:ascii="Arial" w:cs="Arial" w:eastAsia="Arial" w:hAnsi="Arial"/>
          <w:b/>
          <w:bCs/>
          <w:sz w:val="28"/>
          <w:szCs w:val="28"/>
        </w:rPr>
        <w:t xml:space="preserve">Classification</w:t>
      </w:r>
    </w:p>
    <w:p>
      <w:pPr>
        <w:spacing w:after="160"/>
      </w:pPr>
      <w:r>
        <w:rPr>
          <w:rFonts w:ascii="Arial" w:cs="Arial" w:eastAsia="Arial" w:hAnsi="Arial"/>
          <w:sz w:val="24"/>
          <w:szCs w:val="24"/>
        </w:rPr>
        <w:t xml:space="preserve">Classification models target the binary is_hype_period label, using the full feature set including both hype signals and stock return and volatility features. All models are evaluated using the same stratified 5-fold cross-validation protocol, reporting CV AUC mean and standard deviation alongside test set accuracy and AUC.</w:t>
      </w:r>
    </w:p>
    <w:p>
      <w:pPr>
        <w:spacing w:after="160"/>
      </w:pPr>
      <w:r>
        <w:rPr>
          <w:rFonts w:ascii="Arial" w:cs="Arial" w:eastAsia="Arial" w:hAnsi="Arial"/>
          <w:sz w:val="24"/>
          <w:szCs w:val="24"/>
        </w:rPr>
        <w:t xml:space="preserve">Logistic regression establishes a linear baseline with solid but not exceptional performance. K-nearest neighbors is tuned via CV sweep over k values and performs moderately — it captures some local structure but struggles with the noisy daily data. The single decision tree reveals interpretable rules, with the first splits consistently occurring on volatility and recent hype features, confirming that these are the most discriminative variables.</w:t>
      </w:r>
    </w:p>
    <w:p>
      <w:pPr>
        <w:spacing w:after="160"/>
      </w:pPr>
      <w:r>
        <w:rPr>
          <w:rFonts w:ascii="Arial" w:cs="Arial" w:eastAsia="Arial" w:hAnsi="Arial"/>
          <w:sz w:val="24"/>
          <w:szCs w:val="24"/>
        </w:rPr>
        <w:t xml:space="preserve">Ensemble methods consistently outperform all individual models. Random Forest and Gradient Boosted Decision Trees both achieve substantially higher CV AUC scores than logistic regression or the single tree. Feature importance analysis from the Random Forest places NVDA volatility and the composite hype index at the top of the ranking, reinforcing the finding that hype periods are fundamentally high-volatility regimes. The voting ensemble (soft vote combining logistic regression, random forest, and gradient boosting) matches or exceeds the best individual model, confirming that the three base models make partially independent errors.</w:t>
      </w:r>
    </w:p>
    <w:p>
      <w:pPr>
        <w:pStyle w:val="Heading2"/>
      </w:pPr>
      <w:r>
        <w:rPr>
          <w:rFonts w:ascii="Arial" w:cs="Arial" w:eastAsia="Arial" w:hAnsi="Arial"/>
          <w:b/>
          <w:bCs/>
          <w:sz w:val="28"/>
          <w:szCs w:val="28"/>
        </w:rPr>
        <w:t xml:space="preserve">Clustering</w:t>
      </w:r>
    </w:p>
    <w:p>
      <w:pPr>
        <w:spacing w:after="160"/>
      </w:pPr>
      <w:r>
        <w:rPr>
          <w:rFonts w:ascii="Arial" w:cs="Arial" w:eastAsia="Arial" w:hAnsi="Arial"/>
          <w:sz w:val="24"/>
          <w:szCs w:val="24"/>
        </w:rPr>
        <w:t xml:space="preserve">Unsupervised clustering is applied to the hype features and NVDA return and volatility, setting aside the labels entirely. K-means clustering with k selected by silhouette score naturally separates the data into regimes that correspond closely to identifiable periods in the AI hype narrative: a pre-ChatGPT calm period with low hype and moderate volatility, a hype surge period concentrated around late 2022 through 2023 characterized by high hype and elevated NVDA returns, and a post-peak normalization period.</w:t>
      </w:r>
    </w:p>
    <w:p>
      <w:pPr>
        <w:spacing w:after="160"/>
      </w:pPr>
      <w:r>
        <w:rPr>
          <w:rFonts w:ascii="Arial" w:cs="Arial" w:eastAsia="Arial" w:hAnsi="Arial"/>
          <w:sz w:val="24"/>
          <w:szCs w:val="24"/>
        </w:rPr>
        <w:t xml:space="preserve">Hierarchical clustering with Ward linkage produces a dendrogram whose structure confirms a natural two-to-three cluster solution at the major branch points. The adjusted Rand index comparing K-means and hierarchical cluster assignments is high, indicating that both methods recover similar underlying structure. The cluster containing the highest fraction of labeled hype-period days also shows the highest average NVDA volatility, connecting the unsupervised and supervised analyses.</w:t>
      </w:r>
    </w:p>
    <w:p>
      <w:pPr>
        <w:pStyle w:val="Heading1"/>
      </w:pPr>
      <w:r>
        <w:rPr>
          <w:rFonts w:ascii="Arial" w:cs="Arial" w:eastAsia="Arial" w:hAnsi="Arial"/>
          <w:b/>
          <w:bCs/>
          <w:sz w:val="32"/>
          <w:szCs w:val="32"/>
        </w:rPr>
        <w:t xml:space="preserve">Results</w:t>
      </w:r>
    </w:p>
    <w:p>
      <w:pPr>
        <w:spacing w:after="160"/>
      </w:pPr>
      <w:r>
        <w:rPr>
          <w:rFonts w:ascii="Arial" w:cs="Arial" w:eastAsia="Arial" w:hAnsi="Arial"/>
          <w:sz w:val="24"/>
          <w:szCs w:val="24"/>
        </w:rPr>
        <w:t xml:space="preserve">Across all methods, the results tell a consistent story. AI hype, as measured through Google Trends and Reddit signals, is meaningfully related to stock market behavior in AI-exposed companies — but the relationship is nonlinear, noisy, and regime-dependent.</w:t>
      </w:r>
    </w:p>
    <w:p>
      <w:pPr>
        <w:spacing w:after="160"/>
      </w:pPr>
      <w:r>
        <w:rPr>
          <w:rFonts w:ascii="Arial" w:cs="Arial" w:eastAsia="Arial" w:hAnsi="Arial"/>
          <w:sz w:val="24"/>
          <w:szCs w:val="24"/>
        </w:rPr>
        <w:t xml:space="preserve">NVDA shows the strongest and most consistent relationship across all analyses: higher hype-period returns, larger abnormal returns around launch events, the highest regression coefficients, and the strongest feature importance scores in ensemble models. MSFT shows moderate effects, and AAPL shows the weakest, consistent with the expected exposure ordering.</w:t>
      </w:r>
    </w:p>
    <w:p>
      <w:pPr>
        <w:spacing w:after="160"/>
      </w:pPr>
      <w:r>
        <w:rPr>
          <w:rFonts w:ascii="Arial" w:cs="Arial" w:eastAsia="Arial" w:hAnsi="Arial"/>
          <w:sz w:val="24"/>
          <w:szCs w:val="24"/>
        </w:rPr>
        <w:t xml:space="preserve">The key asymmetry between regression and classification results is informative. Linear regression explains almost no variance in forward returns, but classification models achieve AUC scores substantially above 0.5 when predicting hype regimes. This suggests that the hype-market relationship is not a simple linear mapping from hype to return, but a more complex interaction involving volatility, momentum, and cross-asset dynamics that tree-based models can partially capture.</w:t>
      </w:r>
    </w:p>
    <w:p>
      <w:pPr>
        <w:spacing w:after="160"/>
      </w:pPr>
      <w:r>
        <w:rPr>
          <w:rFonts w:ascii="Arial" w:cs="Arial" w:eastAsia="Arial" w:hAnsi="Arial"/>
          <w:sz w:val="24"/>
          <w:szCs w:val="24"/>
        </w:rPr>
        <w:t xml:space="preserve">The clustering results provide a useful reframing: rather than asking whether hype affects returns on a day-by-day basis, the more appropriate question may be whether the market is in a hype-driven regime or not. The regime structure is stable enough that unsupervised methods recover it without any labels.</w:t>
      </w:r>
    </w:p>
    <w:p>
      <w:pPr>
        <w:pStyle w:val="Heading1"/>
      </w:pPr>
      <w:r>
        <w:rPr>
          <w:rFonts w:ascii="Arial" w:cs="Arial" w:eastAsia="Arial" w:hAnsi="Arial"/>
          <w:b/>
          <w:bCs/>
          <w:sz w:val="32"/>
          <w:szCs w:val="32"/>
        </w:rPr>
        <w:t xml:space="preserve">Summary</w:t>
      </w:r>
    </w:p>
    <w:p>
      <w:pPr>
        <w:spacing w:after="160"/>
      </w:pPr>
      <w:r>
        <w:rPr>
          <w:rFonts w:ascii="Arial" w:cs="Arial" w:eastAsia="Arial" w:hAnsi="Arial"/>
          <w:sz w:val="24"/>
          <w:szCs w:val="24"/>
        </w:rPr>
        <w:t xml:space="preserve">This project demonstrates that AI hype cycles leave a detectable and statistically significant footprint in equity markets. Public interest in artificial intelligence, as measured through Google search volume and Reddit activity, is associated with elevated returns and volatility in AI-exposed stocks — particularly NVIDIA — around major AI product launch events.</w:t>
      </w:r>
    </w:p>
    <w:p>
      <w:pPr>
        <w:spacing w:after="160"/>
      </w:pPr>
      <w:r>
        <w:rPr>
          <w:rFonts w:ascii="Arial" w:cs="Arial" w:eastAsia="Arial" w:hAnsi="Arial"/>
          <w:sz w:val="24"/>
          <w:szCs w:val="24"/>
        </w:rPr>
        <w:t xml:space="preserve">The combination of hypothesis testing and machine learning provides a complementary perspective. Hypothesis tests establish the existence and statistical significance of the relationships. Machine learning reveals their nonlinear structure and identifies which features carry the most predictive information. Clustering confirms that the data has a natural regime structure aligned with the hype narrative.</w:t>
      </w:r>
    </w:p>
    <w:p>
      <w:pPr>
        <w:spacing w:after="160"/>
      </w:pPr>
      <w:r>
        <w:rPr>
          <w:rFonts w:ascii="Arial" w:cs="Arial" w:eastAsia="Arial" w:hAnsi="Arial"/>
          <w:sz w:val="24"/>
          <w:szCs w:val="24"/>
        </w:rPr>
        <w:t xml:space="preserve">The findings support the interpretation that AI hype contributes to sentiment-driven price movements that are distinct from fundamental valuation changes — consistent with a behavioral finance view of speculative episodes in technology markets.</w:t>
      </w:r>
    </w:p>
    <w:p>
      <w:pPr>
        <w:pStyle w:val="Heading1"/>
      </w:pPr>
      <w:r>
        <w:rPr>
          <w:rFonts w:ascii="Arial" w:cs="Arial" w:eastAsia="Arial" w:hAnsi="Arial"/>
          <w:b/>
          <w:bCs/>
          <w:sz w:val="32"/>
          <w:szCs w:val="32"/>
        </w:rPr>
        <w:t xml:space="preserve">Limitations and Future Work</w:t>
      </w:r>
    </w:p>
    <w:p>
      <w:pPr>
        <w:spacing w:after="160"/>
      </w:pPr>
      <w:r>
        <w:rPr>
          <w:rFonts w:ascii="Arial" w:cs="Arial" w:eastAsia="Arial" w:hAnsi="Arial"/>
          <w:sz w:val="24"/>
          <w:szCs w:val="24"/>
        </w:rPr>
        <w:t xml:space="preserve">Several limitations should be acknowledged. The analysis is observational and cannot establish causal direction: hype may drive prices, prices may drive hype, or both may be driven by underlying fundamental news. The Google Trends and Reddit signals are imperfect proxies for investor sentiment and conflate genuine information with noise. The sample period, while covering several years, includes only one major AI hype cycle, limiting generalizability.</w:t>
      </w:r>
    </w:p>
    <w:p>
      <w:pPr>
        <w:spacing w:after="160"/>
      </w:pPr>
      <w:r>
        <w:rPr>
          <w:rFonts w:ascii="Arial" w:cs="Arial" w:eastAsia="Arial" w:hAnsi="Arial"/>
          <w:sz w:val="24"/>
          <w:szCs w:val="24"/>
        </w:rPr>
        <w:t xml:space="preserve">Future work could incorporate more granular data sources such as earnings call transcripts, news sentiment scores, or options market implied volatility to better isolate the sentiment channel. Causal inference techniques including instrumental variables or difference-in-differences designs could help establish directional claims. Extending the analysis to a broader set of AI-adjacent equities or to international markets would test whether the patterns found here are specific to the US technology sector or more general.</w:t>
      </w:r>
    </w:p>
    <w:p>
      <w:pPr>
        <w:pStyle w:val="Heading1"/>
      </w:pPr>
      <w:r>
        <w:rPr>
          <w:rFonts w:ascii="Arial" w:cs="Arial" w:eastAsia="Arial" w:hAnsi="Arial"/>
          <w:b/>
          <w:bCs/>
          <w:sz w:val="32"/>
          <w:szCs w:val="32"/>
        </w:rPr>
        <w:t xml:space="preserve">Usage of LLMs and AI</w:t>
      </w:r>
    </w:p>
    <w:p>
      <w:pPr>
        <w:spacing w:after="160"/>
      </w:pPr>
      <w:r>
        <w:rPr>
          <w:rFonts w:ascii="Arial" w:cs="Arial" w:eastAsia="Arial" w:hAnsi="Arial"/>
          <w:sz w:val="24"/>
          <w:szCs w:val="24"/>
        </w:rPr>
        <w:t xml:space="preserve">AI tools, including large language models, were used to assist with code structure, debugging, and report writing. All analytical decisions — including the choice of hypotheses, test statistics, model architectures, feature engineering steps, and interpretations — remain the responsibility of the author. AI assistance was limited to implementation support and does not replace original analysis or independent judgment.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2026-05-18T14:03:44.815Z</dcterms:created>
  <dcterms:modified xsi:type="dcterms:W3CDTF">2026-05-18T14:03:44.816Z</dcterms:modified>
</cp:coreProperties>
</file>

<file path=docProps/custom.xml><?xml version="1.0" encoding="utf-8"?>
<Properties xmlns="http://schemas.openxmlformats.org/officeDocument/2006/custom-properties" xmlns:vt="http://schemas.openxmlformats.org/officeDocument/2006/docPropsVTypes"/>
</file>