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360" w:line="300" w:lineRule="auto"/>
        <w:rPr>
          <w:rFonts w:ascii="Courier New" w:cs="Courier New" w:eastAsia="Courier New" w:hAnsi="Courier New"/>
          <w:b w:val="1"/>
          <w:color w:val="24292f"/>
          <w:sz w:val="33"/>
          <w:szCs w:val="33"/>
        </w:rPr>
      </w:pPr>
      <w:bookmarkStart w:colFirst="0" w:colLast="0" w:name="_v1ulhmnbwkpx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33"/>
          <w:szCs w:val="33"/>
          <w:rtl w:val="0"/>
        </w:rPr>
        <w:t xml:space="preserve">LoadData</w:t>
      </w:r>
    </w:p>
    <w:p w:rsidR="00000000" w:rsidDel="00000000" w:rsidP="00000000" w:rsidRDefault="00000000" w:rsidRPr="00000000" w14:paraId="00000002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Этот класс отвечает за загрузку и предобработку данных из CSV-файлов.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В конструкторе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__init__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 он читает тренировочный и тестовый наборы данных из файлов.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fill_na_lower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Приводит имена столбцов к нижнему регистру.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Преобразует категориальный признак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в числовой формат (1 — мужской, 0 — женский).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Заполняет пропущенные значения в категориальных столбцах модой (самым частым значением).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Заполняет пропуски в числовых столбцах медианой.</w:t>
      </w:r>
    </w:p>
    <w:p w:rsidR="00000000" w:rsidDel="00000000" w:rsidP="00000000" w:rsidRDefault="00000000" w:rsidRPr="00000000" w14:paraId="00000009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Таким образом, этот класс подготавливает данные для дальнейшего обучения и предсказания.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360" w:line="300" w:lineRule="auto"/>
        <w:rPr>
          <w:rFonts w:ascii="Courier New" w:cs="Courier New" w:eastAsia="Courier New" w:hAnsi="Courier New"/>
          <w:b w:val="1"/>
          <w:color w:val="24292f"/>
          <w:sz w:val="33"/>
          <w:szCs w:val="33"/>
        </w:rPr>
      </w:pPr>
      <w:bookmarkStart w:colFirst="0" w:colLast="0" w:name="_ddg2qvjsje81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33"/>
          <w:szCs w:val="33"/>
          <w:rtl w:val="0"/>
        </w:rPr>
        <w:t xml:space="preserve">SplitHeart</w:t>
      </w:r>
    </w:p>
    <w:p w:rsidR="00000000" w:rsidDel="00000000" w:rsidP="00000000" w:rsidRDefault="00000000" w:rsidRPr="00000000" w14:paraId="0000000C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Наследует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LoadData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и отвечает за разделение данных на признаки и целевую переменную.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При инициализации вызывает методы загрузки и предобработки из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LoadData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split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Отделяет целевую переменную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heart attack risk (binary)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от признаков в тренировочном наборе.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Удаляет лишние колонки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unnamed: 0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id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), которые не нужны для обучения.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Возвращает тренировочные признаки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), целевую переменную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), тестовые признаки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X_heart_test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 и идентификаторы из тестового набора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ids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Этот класс структурирует данные для удобного обучения модели и получения предсказаний.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360" w:line="300" w:lineRule="auto"/>
        <w:rPr>
          <w:rFonts w:ascii="Courier New" w:cs="Courier New" w:eastAsia="Courier New" w:hAnsi="Courier New"/>
          <w:b w:val="1"/>
          <w:color w:val="24292f"/>
          <w:sz w:val="33"/>
          <w:szCs w:val="33"/>
        </w:rPr>
      </w:pPr>
      <w:bookmarkStart w:colFirst="0" w:colLast="0" w:name="_egpb8dkew692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33"/>
          <w:szCs w:val="33"/>
          <w:rtl w:val="0"/>
        </w:rPr>
        <w:t xml:space="preserve">GBC</w:t>
      </w:r>
    </w:p>
    <w:p w:rsidR="00000000" w:rsidDel="00000000" w:rsidP="00000000" w:rsidRDefault="00000000" w:rsidRPr="00000000" w14:paraId="00000015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Обёртка над моделью градиентного бустинга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GradientBoostingClassifier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из sklearn).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В конструкторе создаёт экземпляр модели с заданными гиперпараметрами (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learning_rate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max_depth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n_estimators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random_state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fit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обучает модель на тренировочных данных.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predict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возвращает бинарные предсказания риска сердечного приступа на основе вероятностей и заданного порога (threshold).</w:t>
      </w:r>
    </w:p>
    <w:p w:rsidR="00000000" w:rsidDel="00000000" w:rsidP="00000000" w:rsidRDefault="00000000" w:rsidRPr="00000000" w14:paraId="00000019">
      <w:pPr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Этот класс инкапсулирует логику работы с моделью машинного обучения.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3eut7zfe2krw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Итог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LoadData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— загрузка и очистка данных.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SplitHeart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— подготовка и разделение данных на признаки и целевую переменную.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rtl w:val="0"/>
        </w:rPr>
        <w:t xml:space="preserve">GBC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— создание, обучение и предсказание модели градиентного бустинга.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