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F4761"/>
          <w:sz w:val="44"/>
        </w:rPr>
        <w:t>Architecture Design Document - MOA Valuation Assembly Procedure Automation</w:t>
      </w:r>
    </w:p>
    <w:p>
      <w:r>
        <w:rPr>
          <w:rFonts w:ascii="Calibri" w:hAnsi="Calibri"/>
          <w:color w:val="0F4761"/>
          <w:sz w:val="24"/>
        </w:rPr>
        <w:t>Document Version:  1.2</w:t>
      </w:r>
    </w:p>
    <w:p>
      <w:r>
        <w:rPr>
          <w:rFonts w:ascii="Calibri" w:hAnsi="Calibri"/>
          <w:color w:val="4B5563"/>
          <w:sz w:val="22"/>
        </w:rPr>
        <w:t>24 October 2026</w:t>
      </w:r>
    </w:p>
    <w:p>
      <w:pPr>
        <w:pStyle w:val="Heading1"/>
      </w:pPr>
      <w:r>
        <w:t>1. Executive Summary</w:t>
      </w:r>
    </w:p>
    <w:p>
      <w:r>
        <w:t>The MOA Valuation Assembly Procedure Automation solution reduces the manual work of assembling a valuation package. It reads the uploaded PDFs and the valuation log, keeps or removes the notices and letters already in the package, fills amounts on those letters, writes bookmarks, drafts the email, and adds a row to the Val Assembly Log.</w:t>
      </w:r>
    </w:p>
    <w:p>
      <w:r>
        <w:t>The reviewer opens it in a browser on the same computer. One Process run orders the files, applies the rules, runs the checks, and saves the named valuation PDF. The application does not create a new notice page, does not send the email, and does not sign the reviewer’s name on the Testing Log.</w:t>
      </w:r>
    </w:p>
    <w:p>
      <w:pPr>
        <w:pStyle w:val="Heading1"/>
      </w:pPr>
      <w:r>
        <w:t>2. Business Objectives</w:t>
      </w:r>
    </w:p>
    <w:p>
      <w:pPr>
        <w:spacing w:before="160" w:after="40"/>
      </w:pPr>
      <w:r>
        <w:rPr>
          <w:rFonts w:ascii="Calibri" w:hAnsi="Calibri"/>
          <w:b/>
          <w:color w:val="0F4761"/>
          <w:sz w:val="22"/>
        </w:rPr>
        <w:t>Primary Objectives</w:t>
      </w:r>
    </w:p>
    <w:p>
      <w:pPr>
        <w:pStyle w:val="ListBullet"/>
      </w:pPr>
      <w:r>
        <w:rPr>
          <w:rFonts w:ascii="Calibri" w:hAnsi="Calibri"/>
          <w:sz w:val="22"/>
        </w:rPr>
        <w:t>Assemble the valuation package from the uploaded PDFs.</w:t>
      </w:r>
    </w:p>
    <w:p>
      <w:pPr>
        <w:pStyle w:val="ListBullet"/>
      </w:pPr>
      <w:r>
        <w:rPr>
          <w:rFonts w:ascii="Calibri" w:hAnsi="Calibri"/>
          <w:sz w:val="22"/>
        </w:rPr>
        <w:t>Reduce the time spent deciding which notices and letters stay.</w:t>
      </w:r>
    </w:p>
    <w:p>
      <w:pPr>
        <w:pStyle w:val="ListBullet"/>
      </w:pPr>
      <w:r>
        <w:rPr>
          <w:rFonts w:ascii="Calibri" w:hAnsi="Calibri"/>
          <w:sz w:val="22"/>
        </w:rPr>
        <w:t>Apply the same keep-or-remove rules on every package.</w:t>
      </w:r>
    </w:p>
    <w:p>
      <w:pPr>
        <w:pStyle w:val="ListBullet"/>
      </w:pPr>
      <w:r>
        <w:rPr>
          <w:rFonts w:ascii="Calibri" w:hAnsi="Calibri"/>
          <w:sz w:val="22"/>
        </w:rPr>
        <w:t>Check the Result Summary, the cover date, the compliance pages, and the variance copy.</w:t>
      </w:r>
    </w:p>
    <w:p>
      <w:pPr>
        <w:pStyle w:val="ListBullet"/>
      </w:pPr>
      <w:r>
        <w:rPr>
          <w:rFonts w:ascii="Calibri" w:hAnsi="Calibri"/>
          <w:sz w:val="22"/>
        </w:rPr>
        <w:t>Complete the bookmarks, the email draft, and the Val Assembly Log row.</w:t>
      </w:r>
    </w:p>
    <w:p>
      <w:pPr>
        <w:pStyle w:val="Heading1"/>
      </w:pPr>
      <w:r>
        <w:t>3. Solution Scope</w:t>
      </w:r>
    </w:p>
    <w:p>
      <w:pPr>
        <w:spacing w:before="160" w:after="40"/>
      </w:pPr>
      <w:r>
        <w:rPr>
          <w:rFonts w:ascii="Calibri" w:hAnsi="Calibri"/>
          <w:b/>
          <w:color w:val="0F4761"/>
          <w:sz w:val="22"/>
        </w:rPr>
        <w:t>In Scope</w:t>
      </w:r>
    </w:p>
    <w:tbl>
      <w:tblPr>
        <w:tblStyle w:val="TableGrid"/>
        <w:tblW w:type="auto" w:w="0"/>
        <w:tblLayout w:type="autofit"/>
        <w:tblLook w:firstColumn="1" w:firstRow="1" w:lastColumn="0" w:lastRow="0" w:noHBand="0" w:noVBand="1" w:val="04A0"/>
      </w:tblPr>
      <w:tblGrid>
        <w:gridCol w:w="2018"/>
        <w:gridCol w:w="2018"/>
        <w:gridCol w:w="2018"/>
        <w:gridCol w:w="2018"/>
        <w:gridCol w:w="2018"/>
      </w:tblGrid>
      <w:tr>
        <w:tc>
          <w:tcPr>
            <w:tcW w:type="dxa" w:w="2018"/>
            <w:shd w:fill="0F6E6B" w:val="clear"/>
          </w:tcPr>
          <w:p>
            <w:r/>
            <w:r>
              <w:rPr>
                <w:rFonts w:ascii="Calibri" w:hAnsi="Calibri"/>
                <w:b/>
                <w:color w:val="FFFFFF"/>
                <w:sz w:val="18"/>
              </w:rPr>
              <w:t>Cover Page Validation</w:t>
            </w:r>
          </w:p>
        </w:tc>
        <w:tc>
          <w:tcPr>
            <w:tcW w:type="dxa" w:w="2018"/>
            <w:shd w:fill="0F6E6B" w:val="clear"/>
          </w:tcPr>
          <w:p>
            <w:r/>
            <w:r>
              <w:rPr>
                <w:rFonts w:ascii="Calibri" w:hAnsi="Calibri"/>
                <w:b/>
                <w:color w:val="FFFFFF"/>
                <w:sz w:val="18"/>
              </w:rPr>
              <w:t>Action Required Classification</w:t>
            </w:r>
          </w:p>
        </w:tc>
        <w:tc>
          <w:tcPr>
            <w:tcW w:type="dxa" w:w="2018"/>
            <w:shd w:fill="0F6E6B" w:val="clear"/>
          </w:tcPr>
          <w:p>
            <w:r/>
            <w:r>
              <w:rPr>
                <w:rFonts w:ascii="Calibri" w:hAnsi="Calibri"/>
                <w:b/>
                <w:color w:val="FFFFFF"/>
                <w:sz w:val="18"/>
              </w:rPr>
              <w:t>Notices and Letters</w:t>
            </w:r>
          </w:p>
        </w:tc>
        <w:tc>
          <w:tcPr>
            <w:tcW w:type="dxa" w:w="2018"/>
            <w:shd w:fill="0F6E6B" w:val="clear"/>
          </w:tcPr>
          <w:p>
            <w:r/>
            <w:r>
              <w:rPr>
                <w:rFonts w:ascii="Calibri" w:hAnsi="Calibri"/>
                <w:b/>
                <w:color w:val="FFFFFF"/>
                <w:sz w:val="18"/>
              </w:rPr>
              <w:t>Information Processing</w:t>
            </w:r>
          </w:p>
        </w:tc>
        <w:tc>
          <w:tcPr>
            <w:tcW w:type="dxa" w:w="2018"/>
            <w:shd w:fill="0F6E6B" w:val="clear"/>
          </w:tcPr>
          <w:p>
            <w:r/>
            <w:r>
              <w:rPr>
                <w:rFonts w:ascii="Calibri" w:hAnsi="Calibri"/>
                <w:b/>
                <w:color w:val="FFFFFF"/>
                <w:sz w:val="18"/>
              </w:rPr>
              <w:t>Output Automation</w:t>
            </w:r>
          </w:p>
        </w:tc>
      </w:tr>
      <w:tr>
        <w:tc>
          <w:tcPr>
            <w:tcW w:type="dxa" w:w="2018"/>
          </w:tcPr>
          <w:p>
            <w:r/>
            <w:r>
              <w:rPr>
                <w:rFonts w:ascii="Calibri" w:hAnsi="Calibri"/>
                <w:b w:val="0"/>
                <w:color w:val="1F2937"/>
                <w:sz w:val="18"/>
              </w:rPr>
              <w:t>Plan number</w:t>
            </w:r>
          </w:p>
        </w:tc>
        <w:tc>
          <w:tcPr>
            <w:tcW w:type="dxa" w:w="2018"/>
          </w:tcPr>
          <w:p>
            <w:r/>
            <w:r>
              <w:rPr>
                <w:rFonts w:ascii="Calibri" w:hAnsi="Calibri"/>
                <w:b w:val="0"/>
                <w:color w:val="1F2937"/>
                <w:sz w:val="18"/>
              </w:rPr>
              <w:t>Compliance failure</w:t>
            </w:r>
          </w:p>
        </w:tc>
        <w:tc>
          <w:tcPr>
            <w:tcW w:type="dxa" w:w="2018"/>
          </w:tcPr>
          <w:p>
            <w:r/>
            <w:r>
              <w:rPr>
                <w:rFonts w:ascii="Calibri" w:hAnsi="Calibri"/>
                <w:b w:val="0"/>
                <w:color w:val="1F2937"/>
                <w:sz w:val="18"/>
              </w:rPr>
              <w:t>ADP/ACP notice kept or removed</w:t>
            </w:r>
          </w:p>
        </w:tc>
        <w:tc>
          <w:tcPr>
            <w:tcW w:type="dxa" w:w="2018"/>
          </w:tcPr>
          <w:p>
            <w:r/>
            <w:r>
              <w:rPr>
                <w:rFonts w:ascii="Calibri" w:hAnsi="Calibri"/>
                <w:b w:val="0"/>
                <w:color w:val="1F2937"/>
                <w:sz w:val="18"/>
              </w:rPr>
              <w:t>Excess Summary</w:t>
            </w:r>
          </w:p>
        </w:tc>
        <w:tc>
          <w:tcPr>
            <w:tcW w:type="dxa" w:w="2018"/>
          </w:tcPr>
          <w:p>
            <w:r/>
            <w:r>
              <w:rPr>
                <w:rFonts w:ascii="Calibri" w:hAnsi="Calibri"/>
                <w:b w:val="0"/>
                <w:color w:val="1F2937"/>
                <w:sz w:val="18"/>
              </w:rPr>
              <w:t>Bookmarks</w:t>
            </w:r>
          </w:p>
        </w:tc>
      </w:tr>
      <w:tr>
        <w:tc>
          <w:tcPr>
            <w:tcW w:type="dxa" w:w="2018"/>
            <w:shd w:fill="F4F7F8" w:val="clear"/>
          </w:tcPr>
          <w:p>
            <w:r/>
            <w:r>
              <w:rPr>
                <w:rFonts w:ascii="Calibri" w:hAnsi="Calibri"/>
                <w:b w:val="0"/>
                <w:color w:val="1F2937"/>
                <w:sz w:val="18"/>
              </w:rPr>
              <w:t>Company name</w:t>
            </w:r>
          </w:p>
        </w:tc>
        <w:tc>
          <w:tcPr>
            <w:tcW w:type="dxa" w:w="2018"/>
            <w:shd w:fill="F4F7F8" w:val="clear"/>
          </w:tcPr>
          <w:p>
            <w:r/>
            <w:r>
              <w:rPr>
                <w:rFonts w:ascii="Calibri" w:hAnsi="Calibri"/>
                <w:b w:val="0"/>
                <w:color w:val="1F2937"/>
                <w:sz w:val="18"/>
              </w:rPr>
              <w:t>PRIOR method</w:t>
            </w:r>
          </w:p>
        </w:tc>
        <w:tc>
          <w:tcPr>
            <w:tcW w:type="dxa" w:w="2018"/>
            <w:shd w:fill="F4F7F8" w:val="clear"/>
          </w:tcPr>
          <w:p>
            <w:r/>
            <w:r>
              <w:rPr>
                <w:rFonts w:ascii="Calibri" w:hAnsi="Calibri"/>
                <w:b w:val="0"/>
                <w:color w:val="1F2937"/>
                <w:sz w:val="18"/>
              </w:rPr>
              <w:t>ADP sample letter</w:t>
            </w:r>
          </w:p>
        </w:tc>
        <w:tc>
          <w:tcPr>
            <w:tcW w:type="dxa" w:w="2018"/>
            <w:shd w:fill="F4F7F8" w:val="clear"/>
          </w:tcPr>
          <w:p>
            <w:r/>
            <w:r>
              <w:rPr>
                <w:rFonts w:ascii="Calibri" w:hAnsi="Calibri"/>
                <w:b w:val="0"/>
                <w:color w:val="1F2937"/>
                <w:sz w:val="18"/>
              </w:rPr>
              <w:t>Year End Recap</w:t>
            </w:r>
          </w:p>
        </w:tc>
        <w:tc>
          <w:tcPr>
            <w:tcW w:type="dxa" w:w="2018"/>
            <w:shd w:fill="F4F7F8" w:val="clear"/>
          </w:tcPr>
          <w:p>
            <w:r/>
            <w:r>
              <w:rPr>
                <w:rFonts w:ascii="Calibri" w:hAnsi="Calibri"/>
                <w:b w:val="0"/>
                <w:color w:val="1F2937"/>
                <w:sz w:val="18"/>
              </w:rPr>
              <w:t>Email draft</w:t>
            </w:r>
          </w:p>
        </w:tc>
      </w:tr>
      <w:tr>
        <w:tc>
          <w:tcPr>
            <w:tcW w:type="dxa" w:w="2018"/>
          </w:tcPr>
          <w:p>
            <w:r/>
            <w:r>
              <w:rPr>
                <w:rFonts w:ascii="Calibri" w:hAnsi="Calibri"/>
                <w:b w:val="0"/>
                <w:color w:val="1F2937"/>
                <w:sz w:val="18"/>
              </w:rPr>
              <w:t>Company address</w:t>
            </w:r>
          </w:p>
        </w:tc>
        <w:tc>
          <w:tcPr>
            <w:tcW w:type="dxa" w:w="2018"/>
          </w:tcPr>
          <w:p>
            <w:r/>
            <w:r>
              <w:rPr>
                <w:rFonts w:ascii="Calibri" w:hAnsi="Calibri"/>
                <w:b w:val="0"/>
                <w:color w:val="1F2937"/>
                <w:sz w:val="18"/>
              </w:rPr>
              <w:t>CURRENT method</w:t>
            </w:r>
          </w:p>
        </w:tc>
        <w:tc>
          <w:tcPr>
            <w:tcW w:type="dxa" w:w="2018"/>
          </w:tcPr>
          <w:p>
            <w:r/>
            <w:r>
              <w:rPr>
                <w:rFonts w:ascii="Calibri" w:hAnsi="Calibri"/>
                <w:b w:val="0"/>
                <w:color w:val="1F2937"/>
                <w:sz w:val="18"/>
              </w:rPr>
              <w:t>ACP sample letter</w:t>
            </w:r>
          </w:p>
        </w:tc>
        <w:tc>
          <w:tcPr>
            <w:tcW w:type="dxa" w:w="2018"/>
          </w:tcPr>
          <w:p>
            <w:r/>
            <w:r>
              <w:rPr>
                <w:rFonts w:ascii="Calibri" w:hAnsi="Calibri"/>
                <w:b w:val="0"/>
                <w:color w:val="1F2937"/>
                <w:sz w:val="18"/>
              </w:rPr>
              <w:t>BRF report left out</w:t>
            </w:r>
          </w:p>
        </w:tc>
        <w:tc>
          <w:tcPr>
            <w:tcW w:type="dxa" w:w="2018"/>
          </w:tcPr>
          <w:p>
            <w:r/>
            <w:r>
              <w:rPr>
                <w:rFonts w:ascii="Calibri" w:hAnsi="Calibri"/>
                <w:b w:val="0"/>
                <w:color w:val="1F2937"/>
                <w:sz w:val="18"/>
              </w:rPr>
              <w:t>Val Assembly Log row</w:t>
            </w:r>
          </w:p>
        </w:tc>
      </w:tr>
      <w:tr>
        <w:tc>
          <w:tcPr>
            <w:tcW w:type="dxa" w:w="2018"/>
            <w:shd w:fill="F4F7F8" w:val="clear"/>
          </w:tcPr>
          <w:p>
            <w:r/>
            <w:r>
              <w:rPr>
                <w:rFonts w:ascii="Calibri" w:hAnsi="Calibri"/>
                <w:b w:val="0"/>
                <w:color w:val="1F2937"/>
                <w:sz w:val="18"/>
              </w:rPr>
              <w:t>Plan name</w:t>
            </w:r>
          </w:p>
        </w:tc>
        <w:tc>
          <w:tcPr>
            <w:tcW w:type="dxa" w:w="2018"/>
            <w:shd w:fill="F4F7F8" w:val="clear"/>
          </w:tcPr>
          <w:p>
            <w:r/>
            <w:r>
              <w:rPr>
                <w:rFonts w:ascii="Calibri" w:hAnsi="Calibri"/>
                <w:b w:val="0"/>
                <w:color w:val="1F2937"/>
                <w:sz w:val="18"/>
              </w:rPr>
              <w:t>After 12 months</w:t>
            </w:r>
          </w:p>
        </w:tc>
        <w:tc>
          <w:tcPr>
            <w:tcW w:type="dxa" w:w="2018"/>
            <w:shd w:fill="F4F7F8" w:val="clear"/>
          </w:tcPr>
          <w:p>
            <w:r/>
            <w:r>
              <w:rPr>
                <w:rFonts w:ascii="Calibri" w:hAnsi="Calibri"/>
                <w:b w:val="0"/>
                <w:color w:val="1F2937"/>
                <w:sz w:val="18"/>
              </w:rPr>
              <w:t>402(g) letter</w:t>
            </w:r>
          </w:p>
        </w:tc>
        <w:tc>
          <w:tcPr>
            <w:tcW w:type="dxa" w:w="2018"/>
            <w:shd w:fill="F4F7F8" w:val="clear"/>
          </w:tcPr>
          <w:p>
            <w:r/>
            <w:r>
              <w:rPr>
                <w:rFonts w:ascii="Calibri" w:hAnsi="Calibri"/>
                <w:b w:val="0"/>
                <w:color w:val="1F2937"/>
                <w:sz w:val="18"/>
              </w:rPr>
              <w:t>Variance checks</w:t>
            </w:r>
          </w:p>
        </w:tc>
        <w:tc>
          <w:tcPr>
            <w:tcW w:type="dxa" w:w="2018"/>
            <w:shd w:fill="F4F7F8" w:val="clear"/>
          </w:tcPr>
          <w:p>
            <w:r/>
            <w:r>
              <w:rPr>
                <w:rFonts w:ascii="Calibri" w:hAnsi="Calibri"/>
                <w:b w:val="0"/>
                <w:color w:val="1F2937"/>
                <w:sz w:val="18"/>
              </w:rPr>
              <w:t>Named valuation PDF</w:t>
            </w:r>
          </w:p>
        </w:tc>
      </w:tr>
      <w:tr>
        <w:tc>
          <w:tcPr>
            <w:tcW w:type="dxa" w:w="2018"/>
          </w:tcPr>
          <w:p>
            <w:r/>
            <w:r>
              <w:rPr>
                <w:rFonts w:ascii="Calibri" w:hAnsi="Calibri"/>
                <w:b w:val="0"/>
                <w:color w:val="1F2937"/>
                <w:sz w:val="18"/>
              </w:rPr>
              <w:t>Plan year end</w:t>
            </w:r>
          </w:p>
        </w:tc>
        <w:tc>
          <w:tcPr>
            <w:tcW w:type="dxa" w:w="2018"/>
          </w:tcPr>
          <w:p>
            <w:r/>
            <w:r>
              <w:rPr>
                <w:rFonts w:ascii="Calibri" w:hAnsi="Calibri"/>
                <w:b w:val="0"/>
                <w:color w:val="1F2937"/>
                <w:sz w:val="18"/>
              </w:rPr>
              <w:t>Variance</w:t>
            </w:r>
          </w:p>
        </w:tc>
        <w:tc>
          <w:tcPr>
            <w:tcW w:type="dxa" w:w="2018"/>
          </w:tcPr>
          <w:p>
            <w:r/>
            <w:r>
              <w:rPr>
                <w:rFonts w:ascii="Calibri" w:hAnsi="Calibri"/>
                <w:b w:val="0"/>
                <w:color w:val="1F2937"/>
                <w:sz w:val="18"/>
              </w:rPr>
              <w:t>415 letter</w:t>
            </w:r>
          </w:p>
        </w:tc>
        <w:tc>
          <w:tcPr>
            <w:tcW w:type="dxa" w:w="2018"/>
          </w:tcPr>
          <w:p>
            <w:r/>
            <w:r>
              <w:rPr>
                <w:rFonts w:ascii="Calibri" w:hAnsi="Calibri"/>
                <w:b w:val="0"/>
                <w:color w:val="1F2937"/>
                <w:sz w:val="18"/>
              </w:rPr>
              <w:t>Three compliance pages checked</w:t>
            </w:r>
          </w:p>
        </w:tc>
        <w:tc>
          <w:tcPr>
            <w:tcW w:type="dxa" w:w="2018"/>
          </w:tcPr>
          <w:p>
            <w:r/>
            <w:r>
              <w:rPr>
                <w:rFonts w:ascii="Calibri" w:hAnsi="Calibri"/>
                <w:b w:val="0"/>
                <w:color w:val="1F2937"/>
                <w:sz w:val="18"/>
              </w:rPr>
              <w:t>Optional copy in the Testing folder</w:t>
            </w:r>
          </w:p>
        </w:tc>
      </w:tr>
      <w:tr>
        <w:tc>
          <w:tcPr>
            <w:tcW w:type="dxa" w:w="2018"/>
            <w:shd w:fill="F4F7F8" w:val="clear"/>
          </w:tcPr>
          <w:p>
            <w:r/>
            <w:r>
              <w:rPr>
                <w:rFonts w:ascii="Calibri" w:hAnsi="Calibri"/>
                <w:b w:val="0"/>
                <w:color w:val="1F2937"/>
                <w:sz w:val="18"/>
              </w:rPr>
              <w:t>Mutual of America stamp</w:t>
            </w:r>
          </w:p>
        </w:tc>
        <w:tc>
          <w:tcPr>
            <w:tcW w:type="dxa" w:w="2018"/>
            <w:shd w:fill="F4F7F8" w:val="clear"/>
          </w:tcPr>
          <w:p>
            <w:r/>
            <w:r>
              <w:rPr>
                <w:rFonts w:ascii="Calibri" w:hAnsi="Calibri"/>
                <w:b w:val="0"/>
                <w:color w:val="1F2937"/>
                <w:sz w:val="18"/>
              </w:rPr>
              <w:t>Top heavy above 60%</w:t>
            </w:r>
          </w:p>
        </w:tc>
        <w:tc>
          <w:tcPr>
            <w:tcW w:type="dxa" w:w="2018"/>
            <w:shd w:fill="F4F7F8" w:val="clear"/>
          </w:tcPr>
          <w:p>
            <w:r/>
            <w:r>
              <w:rPr>
                <w:rFonts w:ascii="Calibri" w:hAnsi="Calibri"/>
                <w:b w:val="0"/>
                <w:color w:val="1F2937"/>
                <w:sz w:val="18"/>
              </w:rPr>
              <w:t>Amounts filled on the letter</w:t>
            </w:r>
          </w:p>
        </w:tc>
        <w:tc>
          <w:tcPr>
            <w:tcW w:type="dxa" w:w="2018"/>
            <w:shd w:fill="F4F7F8" w:val="clear"/>
          </w:tcPr>
          <w:p>
            <w:r/>
            <w:r>
              <w:rPr>
                <w:rFonts w:ascii="Calibri" w:hAnsi="Calibri"/>
                <w:b w:val="0"/>
                <w:color w:val="1F2937"/>
                <w:sz w:val="18"/>
              </w:rPr>
              <w:t>Audited, 5500, and escalation wording removed</w:t>
            </w:r>
          </w:p>
        </w:tc>
        <w:tc>
          <w:tcPr>
            <w:tcW w:type="dxa" w:w="2018"/>
            <w:shd w:fill="F4F7F8" w:val="clear"/>
          </w:tcPr>
          <w:p>
            <w:r/>
            <w:r>
              <w:rPr>
                <w:rFonts w:ascii="Calibri" w:hAnsi="Calibri"/>
                <w:b w:val="0"/>
                <w:color w:val="1F2937"/>
                <w:sz w:val="18"/>
              </w:rPr>
              <w:t>Highlighted preview</w:t>
            </w:r>
          </w:p>
        </w:tc>
      </w:tr>
      <w:tr>
        <w:tc>
          <w:tcPr>
            <w:tcW w:type="dxa" w:w="2018"/>
          </w:tcPr>
          <w:p>
            <w:r/>
            <w:r>
              <w:rPr>
                <w:rFonts w:ascii="Calibri" w:hAnsi="Calibri"/>
                <w:b w:val="0"/>
                <w:color w:val="1F2937"/>
                <w:sz w:val="18"/>
              </w:rPr>
              <w:t>Cover date set to today when requested</w:t>
            </w:r>
          </w:p>
        </w:tc>
        <w:tc>
          <w:tcPr>
            <w:tcW w:type="dxa" w:w="2018"/>
          </w:tcPr>
          <w:p>
            <w:r/>
            <w:r>
              <w:rPr>
                <w:rFonts w:ascii="Calibri" w:hAnsi="Calibri"/>
                <w:b w:val="0"/>
                <w:color w:val="1F2937"/>
                <w:sz w:val="18"/>
              </w:rPr>
              <w:t>No action required</w:t>
            </w:r>
          </w:p>
        </w:tc>
        <w:tc>
          <w:tcPr>
            <w:tcW w:type="dxa" w:w="2018"/>
          </w:tcPr>
          <w:p>
            <w:r/>
            <w:r>
              <w:rPr>
                <w:rFonts w:ascii="Calibri" w:hAnsi="Calibri"/>
                <w:b w:val="0"/>
                <w:color w:val="1F2937"/>
                <w:sz w:val="18"/>
              </w:rPr>
            </w:r>
          </w:p>
        </w:tc>
        <w:tc>
          <w:tcPr>
            <w:tcW w:type="dxa" w:w="2018"/>
          </w:tcPr>
          <w:p>
            <w:r/>
            <w:r>
              <w:rPr>
                <w:rFonts w:ascii="Calibri" w:hAnsi="Calibri"/>
                <w:b w:val="0"/>
                <w:color w:val="1F2937"/>
                <w:sz w:val="18"/>
              </w:rPr>
            </w:r>
          </w:p>
        </w:tc>
        <w:tc>
          <w:tcPr>
            <w:tcW w:type="dxa" w:w="2018"/>
          </w:tcPr>
          <w:p>
            <w:r/>
            <w:r>
              <w:rPr>
                <w:rFonts w:ascii="Calibri" w:hAnsi="Calibri"/>
                <w:b w:val="0"/>
                <w:color w:val="1F2937"/>
                <w:sz w:val="18"/>
              </w:rPr>
            </w:r>
          </w:p>
        </w:tc>
      </w:tr>
    </w:tbl>
    <w:p/>
    <w:p>
      <w:pPr>
        <w:spacing w:before="160" w:after="40"/>
      </w:pPr>
      <w:r>
        <w:rPr>
          <w:rFonts w:ascii="Calibri" w:hAnsi="Calibri"/>
          <w:b/>
          <w:color w:val="0F4761"/>
          <w:sz w:val="22"/>
        </w:rPr>
        <w:t>Out of Scope</w:t>
      </w:r>
    </w:p>
    <w:p>
      <w:pPr>
        <w:pStyle w:val="ListBullet"/>
      </w:pPr>
      <w:r>
        <w:rPr>
          <w:rFonts w:ascii="Calibri" w:hAnsi="Calibri"/>
          <w:sz w:val="22"/>
        </w:rPr>
        <w:t>Reading a scanned PDF that is only a picture. There is no optical character recognition.</w:t>
      </w:r>
    </w:p>
    <w:p>
      <w:pPr>
        <w:pStyle w:val="ListBullet"/>
      </w:pPr>
      <w:r>
        <w:rPr>
          <w:rFonts w:ascii="Calibri" w:hAnsi="Calibri"/>
          <w:sz w:val="22"/>
        </w:rPr>
        <w:t>Sending the email. The application writes the draft. The reviewer sends it.</w:t>
      </w:r>
    </w:p>
    <w:p>
      <w:pPr>
        <w:pStyle w:val="ListBullet"/>
      </w:pPr>
      <w:r>
        <w:rPr>
          <w:rFonts w:ascii="Calibri" w:hAnsi="Calibri"/>
          <w:sz w:val="22"/>
        </w:rPr>
        <w:t>Signing the reviewer’s name on the shared Testing Log to claim the plan.</w:t>
      </w:r>
    </w:p>
    <w:p>
      <w:pPr>
        <w:pStyle w:val="ListBullet"/>
      </w:pPr>
      <w:r>
        <w:rPr>
          <w:rFonts w:ascii="Calibri" w:hAnsi="Calibri"/>
          <w:sz w:val="22"/>
        </w:rPr>
        <w:t>Converting Word, Excel, or image files into PDF.</w:t>
      </w:r>
    </w:p>
    <w:p>
      <w:pPr>
        <w:pStyle w:val="ListBullet"/>
      </w:pPr>
      <w:r>
        <w:rPr>
          <w:rFonts w:ascii="Calibri" w:hAnsi="Calibri"/>
          <w:sz w:val="22"/>
        </w:rPr>
        <w:t>Creating the three compliance pages when they were not in the upload.</w:t>
      </w:r>
    </w:p>
    <w:p>
      <w:pPr>
        <w:pStyle w:val="ListBullet"/>
      </w:pPr>
      <w:r>
        <w:rPr>
          <w:rFonts w:ascii="Calibri" w:hAnsi="Calibri"/>
          <w:sz w:val="22"/>
        </w:rPr>
        <w:t>Filling the tester columns on the assembly log: FIS, related plans, MEP, and safe harbor.</w:t>
      </w:r>
    </w:p>
    <w:p>
      <w:pPr>
        <w:pStyle w:val="ListBullet"/>
      </w:pPr>
      <w:r>
        <w:rPr>
          <w:rFonts w:ascii="Calibri" w:hAnsi="Calibri"/>
          <w:sz w:val="22"/>
        </w:rPr>
        <w:t>Confirming that no company name other than Mutual of America appears. The stamp is checked. Other names remain a visual check.</w:t>
      </w:r>
    </w:p>
    <w:p>
      <w:pPr>
        <w:pStyle w:val="Heading1"/>
      </w:pPr>
      <w:r>
        <w:t>4. High-Level Architecture</w:t>
      </w:r>
    </w:p>
    <w:p>
      <w:r>
        <w:t>The reviewer works in a browser on the same computer that runs the application. There is no separate server and no database. The files on that computer are the record.</w:t>
      </w:r>
    </w:p>
    <w:p>
      <w:pPr>
        <w:spacing w:before="120" w:after="160"/>
        <w:jc w:val="center"/>
      </w:pPr>
      <w:r>
        <w:drawing>
          <wp:inline xmlns:a="http://schemas.openxmlformats.org/drawingml/2006/main" xmlns:pic="http://schemas.openxmlformats.org/drawingml/2006/picture">
            <wp:extent cx="6309360" cy="3549015"/>
            <wp:docPr id="1" name="Picture 1"/>
            <wp:cNvGraphicFramePr>
              <a:graphicFrameLocks noChangeAspect="1"/>
            </wp:cNvGraphicFramePr>
            <a:graphic>
              <a:graphicData uri="http://schemas.openxmlformats.org/drawingml/2006/picture">
                <pic:pic>
                  <pic:nvPicPr>
                    <pic:cNvPr id="0" name="sdd-high-level.jpg"/>
                    <pic:cNvPicPr/>
                  </pic:nvPicPr>
                  <pic:blipFill>
                    <a:blip r:embed="rId9"/>
                    <a:stretch>
                      <a:fillRect/>
                    </a:stretch>
                  </pic:blipFill>
                  <pic:spPr>
                    <a:xfrm>
                      <a:off x="0" y="0"/>
                      <a:ext cx="6309360" cy="3549015"/>
                    </a:xfrm>
                    <a:prstGeom prst="rect"/>
                  </pic:spPr>
                </pic:pic>
              </a:graphicData>
            </a:graphic>
          </wp:inline>
        </w:drawing>
      </w:r>
    </w:p>
    <w:p>
      <w:pPr>
        <w:pStyle w:val="Heading1"/>
      </w:pPr>
      <w:r>
        <w:t>5. Logical Architecture Components</w:t>
      </w:r>
    </w:p>
    <w:p>
      <w:pPr>
        <w:pStyle w:val="Heading2"/>
      </w:pPr>
      <w:r>
        <w:t>5.1 User Interface Layer</w:t>
      </w:r>
    </w:p>
    <w:p>
      <w:pPr>
        <w:spacing w:before="160" w:after="40"/>
      </w:pPr>
      <w:r>
        <w:rPr>
          <w:rFonts w:ascii="Calibri" w:hAnsi="Calibri"/>
          <w:b/>
          <w:color w:val="0F4761"/>
          <w:sz w:val="22"/>
        </w:rPr>
        <w:t>Responsibilities</w:t>
      </w:r>
    </w:p>
    <w:p>
      <w:pPr>
        <w:pStyle w:val="ListBullet"/>
      </w:pPr>
      <w:r>
        <w:rPr>
          <w:rFonts w:ascii="Calibri" w:hAnsi="Calibri"/>
          <w:sz w:val="22"/>
        </w:rPr>
        <w:t>Upload valuation package PDFs and the valuation log Excel, or use a folder path.</w:t>
      </w:r>
    </w:p>
    <w:p>
      <w:pPr>
        <w:pStyle w:val="ListBullet"/>
      </w:pPr>
      <w:r>
        <w:rPr>
          <w:rFonts w:ascii="Calibri" w:hAnsi="Calibri"/>
          <w:sz w:val="22"/>
        </w:rPr>
        <w:t>List the files, split a multi-page cover, and offer keyword order. The reviewer can move or remove a row.</w:t>
      </w:r>
    </w:p>
    <w:p>
      <w:pPr>
        <w:pStyle w:val="ListBullet"/>
      </w:pPr>
      <w:r>
        <w:rPr>
          <w:rFonts w:ascii="Calibri" w:hAnsi="Calibri"/>
          <w:sz w:val="22"/>
        </w:rPr>
        <w:t>Every Process sets the cover date to today and rewrites off-calendar 402(g) dates. The reviewer can also check a box to rewrite the prior-year HCE %. That box is off by default. Assembly stops is on by default and does not save a package that fails a required check.</w:t>
      </w:r>
    </w:p>
    <w:p>
      <w:pPr>
        <w:pStyle w:val="ListBullet"/>
      </w:pPr>
      <w:r>
        <w:rPr>
          <w:rFonts w:ascii="Calibri" w:hAnsi="Calibri"/>
          <w:sz w:val="22"/>
        </w:rPr>
        <w:t>Run Process and show the checks, the rules, and the plan facts.</w:t>
      </w:r>
    </w:p>
    <w:p>
      <w:pPr>
        <w:pStyle w:val="ListBullet"/>
      </w:pPr>
      <w:r>
        <w:rPr>
          <w:rFonts w:ascii="Calibri" w:hAnsi="Calibri"/>
          <w:sz w:val="22"/>
        </w:rPr>
        <w:t>Preview with highlights on or off, and download the clean PDF.</w:t>
      </w:r>
    </w:p>
    <w:p>
      <w:pPr>
        <w:spacing w:before="160" w:after="40"/>
      </w:pPr>
      <w:r>
        <w:rPr>
          <w:rFonts w:ascii="Calibri" w:hAnsi="Calibri"/>
          <w:b/>
          <w:color w:val="0F4761"/>
          <w:sz w:val="22"/>
        </w:rPr>
        <w:t>Technology</w:t>
      </w:r>
    </w:p>
    <w:p>
      <w:pPr>
        <w:pStyle w:val="ListBullet"/>
      </w:pPr>
      <w:r>
        <w:rPr>
          <w:rFonts w:ascii="Calibri" w:hAnsi="Calibri"/>
          <w:sz w:val="22"/>
        </w:rPr>
        <w:t>HTML in the browser</w:t>
      </w:r>
    </w:p>
    <w:p>
      <w:pPr>
        <w:pStyle w:val="ListBullet"/>
      </w:pPr>
      <w:r>
        <w:rPr>
          <w:rFonts w:ascii="Calibri" w:hAnsi="Calibri"/>
          <w:sz w:val="22"/>
        </w:rPr>
        <w:t>FastAPI on this computer</w:t>
      </w:r>
    </w:p>
    <w:p>
      <w:pPr>
        <w:pStyle w:val="Heading2"/>
      </w:pPr>
      <w:r>
        <w:t>5.2 Document Processing Layer</w:t>
      </w:r>
    </w:p>
    <w:p>
      <w:pPr>
        <w:spacing w:before="160" w:after="40"/>
      </w:pPr>
      <w:r>
        <w:rPr>
          <w:rFonts w:ascii="Calibri" w:hAnsi="Calibri"/>
          <w:b/>
          <w:color w:val="0F4761"/>
          <w:sz w:val="22"/>
        </w:rPr>
        <w:t>Responsibilities</w:t>
      </w:r>
    </w:p>
    <w:p>
      <w:pPr>
        <w:pStyle w:val="ListBullet"/>
      </w:pPr>
      <w:r>
        <w:rPr>
          <w:rFonts w:ascii="Calibri" w:hAnsi="Calibri"/>
          <w:sz w:val="22"/>
        </w:rPr>
        <w:t>Read each uploaded PDF.</w:t>
      </w:r>
    </w:p>
    <w:p>
      <w:pPr>
        <w:pStyle w:val="ListBullet"/>
      </w:pPr>
      <w:r>
        <w:rPr>
          <w:rFonts w:ascii="Calibri" w:hAnsi="Calibri"/>
          <w:sz w:val="22"/>
        </w:rPr>
        <w:t>Extract the text and the page headings.</w:t>
      </w:r>
    </w:p>
    <w:p>
      <w:pPr>
        <w:pStyle w:val="ListBullet"/>
      </w:pPr>
      <w:r>
        <w:rPr>
          <w:rFonts w:ascii="Calibri" w:hAnsi="Calibri"/>
          <w:sz w:val="22"/>
        </w:rPr>
        <w:t>Identify the sections that remain after pages are removed.</w:t>
      </w:r>
    </w:p>
    <w:p>
      <w:pPr>
        <w:pStyle w:val="ListBullet"/>
      </w:pPr>
      <w:r>
        <w:rPr>
          <w:rFonts w:ascii="Calibri" w:hAnsi="Calibri"/>
          <w:sz w:val="22"/>
        </w:rPr>
        <w:t>Reorder inner pages when the headings match: ADP/ACP, 410(b), and the component Average Benefit Percentage test.</w:t>
      </w:r>
    </w:p>
    <w:p>
      <w:pPr>
        <w:spacing w:before="160" w:after="40"/>
      </w:pPr>
      <w:r>
        <w:rPr>
          <w:rFonts w:ascii="Calibri" w:hAnsi="Calibri"/>
          <w:b/>
          <w:color w:val="0F4761"/>
          <w:sz w:val="22"/>
        </w:rPr>
        <w:t>Technology</w:t>
      </w:r>
    </w:p>
    <w:p>
      <w:pPr>
        <w:pStyle w:val="ListBullet"/>
      </w:pPr>
      <w:r>
        <w:rPr>
          <w:rFonts w:ascii="Calibri" w:hAnsi="Calibri"/>
          <w:sz w:val="22"/>
        </w:rPr>
        <w:t>PyMuPDF</w:t>
      </w:r>
    </w:p>
    <w:p>
      <w:pPr>
        <w:spacing w:before="160" w:after="40"/>
      </w:pPr>
      <w:r>
        <w:rPr>
          <w:rFonts w:ascii="Calibri" w:hAnsi="Calibri"/>
          <w:b/>
          <w:color w:val="0F4761"/>
          <w:sz w:val="22"/>
        </w:rPr>
        <w:t>Inputs</w:t>
      </w:r>
    </w:p>
    <w:p>
      <w:pPr>
        <w:pStyle w:val="ListBullet"/>
      </w:pPr>
      <w:r>
        <w:rPr>
          <w:rFonts w:ascii="Calibri" w:hAnsi="Calibri"/>
          <w:sz w:val="22"/>
        </w:rPr>
        <w:t>Valuation package PDFs</w:t>
      </w:r>
    </w:p>
    <w:p>
      <w:pPr>
        <w:spacing w:before="160" w:after="40"/>
      </w:pPr>
      <w:r>
        <w:rPr>
          <w:rFonts w:ascii="Calibri" w:hAnsi="Calibri"/>
          <w:b/>
          <w:color w:val="0F4761"/>
          <w:sz w:val="22"/>
        </w:rPr>
        <w:t>Outputs</w:t>
      </w:r>
    </w:p>
    <w:p>
      <w:pPr>
        <w:pStyle w:val="ListBullet"/>
      </w:pPr>
      <w:r>
        <w:rPr>
          <w:rFonts w:ascii="Calibri" w:hAnsi="Calibri"/>
          <w:sz w:val="22"/>
        </w:rPr>
        <w:t>The merged package and the text used by the rules</w:t>
      </w:r>
    </w:p>
    <w:p>
      <w:pPr>
        <w:pStyle w:val="Heading2"/>
      </w:pPr>
      <w:r>
        <w:t>5.3 Metadata Parsing Engine</w:t>
      </w:r>
    </w:p>
    <w:p>
      <w:pPr>
        <w:spacing w:before="160" w:after="40"/>
      </w:pPr>
      <w:r>
        <w:rPr>
          <w:rFonts w:ascii="Calibri" w:hAnsi="Calibri"/>
          <w:b/>
          <w:color w:val="0F4761"/>
          <w:sz w:val="22"/>
        </w:rPr>
        <w:t>Responsibilities</w:t>
      </w:r>
    </w:p>
    <w:p>
      <w:pPr>
        <w:pStyle w:val="ListBullet"/>
      </w:pPr>
      <w:r>
        <w:rPr>
          <w:rFonts w:ascii="Calibri" w:hAnsi="Calibri"/>
          <w:sz w:val="22"/>
        </w:rPr>
        <w:t>Read the plan number, plan name, and plan year from the cover and the Result Summary.</w:t>
      </w:r>
    </w:p>
    <w:p>
      <w:pPr>
        <w:pStyle w:val="ListBullet"/>
      </w:pPr>
      <w:r>
        <w:rPr>
          <w:rFonts w:ascii="Calibri" w:hAnsi="Calibri"/>
          <w:sz w:val="22"/>
        </w:rPr>
        <w:t>Read PRIOR or CURRENT, pass or fail, top heavy, and HCE from the package and the valuation log Excel.</w:t>
      </w:r>
    </w:p>
    <w:p>
      <w:pPr>
        <w:pStyle w:val="ListBullet"/>
      </w:pPr>
      <w:r>
        <w:rPr>
          <w:rFonts w:ascii="Calibri" w:hAnsi="Calibri"/>
          <w:sz w:val="22"/>
        </w:rPr>
        <w:t>Locate QNEC and refund amounts.</w:t>
      </w:r>
    </w:p>
    <w:p>
      <w:pPr>
        <w:pStyle w:val="ListBullet"/>
      </w:pPr>
      <w:r>
        <w:rPr>
          <w:rFonts w:ascii="Calibri" w:hAnsi="Calibri"/>
          <w:sz w:val="22"/>
        </w:rPr>
        <w:t>Read allocation notes, including whether contributions are required.</w:t>
      </w:r>
    </w:p>
    <w:p>
      <w:pPr>
        <w:spacing w:before="160" w:after="40"/>
      </w:pPr>
      <w:r>
        <w:rPr>
          <w:rFonts w:ascii="Calibri" w:hAnsi="Calibri"/>
          <w:b/>
          <w:color w:val="0F4761"/>
          <w:sz w:val="22"/>
        </w:rPr>
        <w:t>Output example</w:t>
      </w:r>
    </w:p>
    <w:p>
      <w:r>
        <w:rPr>
          <w:rFonts w:ascii="Consolas" w:hAnsi="Consolas"/>
          <w:sz w:val="18"/>
        </w:rPr>
        <w:t>{</w:t>
        <w:br/>
      </w:r>
      <w:r>
        <w:rPr>
          <w:rFonts w:ascii="Consolas" w:hAnsi="Consolas"/>
          <w:sz w:val="18"/>
        </w:rPr>
        <w:t xml:space="preserve">  "plan_number": "",</w:t>
        <w:br/>
      </w:r>
      <w:r>
        <w:rPr>
          <w:rFonts w:ascii="Consolas" w:hAnsi="Consolas"/>
          <w:sz w:val="18"/>
        </w:rPr>
        <w:t xml:space="preserve">  "plan_name": "",</w:t>
        <w:br/>
      </w:r>
      <w:r>
        <w:rPr>
          <w:rFonts w:ascii="Consolas" w:hAnsi="Consolas"/>
          <w:sz w:val="18"/>
        </w:rPr>
        <w:t xml:space="preserve">  "plan_year_end": "",</w:t>
        <w:br/>
      </w:r>
      <w:r>
        <w:rPr>
          <w:rFonts w:ascii="Consolas" w:hAnsi="Consolas"/>
          <w:sz w:val="18"/>
        </w:rPr>
        <w:t xml:space="preserve">  "testing_method": "PRIOR or CURRENT",</w:t>
        <w:br/>
      </w:r>
      <w:r>
        <w:rPr>
          <w:rFonts w:ascii="Consolas" w:hAnsi="Consolas"/>
          <w:sz w:val="18"/>
        </w:rPr>
        <w:t xml:space="preserve">  "adp_result": "",</w:t>
        <w:br/>
      </w:r>
      <w:r>
        <w:rPr>
          <w:rFonts w:ascii="Consolas" w:hAnsi="Consolas"/>
          <w:sz w:val="18"/>
        </w:rPr>
        <w:t xml:space="preserve">  "acp_result": "",</w:t>
        <w:br/>
      </w:r>
      <w:r>
        <w:rPr>
          <w:rFonts w:ascii="Consolas" w:hAnsi="Consolas"/>
          <w:sz w:val="18"/>
        </w:rPr>
        <w:t xml:space="preserve">  "qnec_amount": "",</w:t>
        <w:br/>
      </w:r>
      <w:r>
        <w:rPr>
          <w:rFonts w:ascii="Consolas" w:hAnsi="Consolas"/>
          <w:sz w:val="18"/>
        </w:rPr>
        <w:t xml:space="preserve">  "refund_amount": ""</w:t>
        <w:br/>
      </w:r>
      <w:r>
        <w:rPr>
          <w:rFonts w:ascii="Consolas" w:hAnsi="Consolas"/>
          <w:sz w:val="18"/>
        </w:rPr>
        <w:t>}</w:t>
      </w:r>
    </w:p>
    <w:p>
      <w:pPr>
        <w:pStyle w:val="Heading2"/>
      </w:pPr>
      <w:r>
        <w:t>5.4 Business Rules Engine</w:t>
      </w:r>
    </w:p>
    <w:p>
      <w:r>
        <w:t>This is the decision layer. The rules use the plan facts. They do not decide keep or remove by reading the PDF a second time.</w:t>
      </w:r>
    </w:p>
    <w:p>
      <w:pPr>
        <w:spacing w:before="160" w:after="40"/>
      </w:pPr>
      <w:r>
        <w:rPr>
          <w:rFonts w:ascii="Calibri" w:hAnsi="Calibri"/>
          <w:b/>
          <w:color w:val="0F4761"/>
          <w:sz w:val="22"/>
        </w:rPr>
        <w:t>Rule categories</w:t>
      </w:r>
    </w:p>
    <w:p>
      <w:pPr>
        <w:pStyle w:val="ListBullet"/>
      </w:pPr>
      <w:r>
        <w:rPr>
          <w:rFonts w:ascii="Calibri" w:hAnsi="Calibri"/>
          <w:sz w:val="22"/>
        </w:rPr>
        <w:t>Cover page: plan number, company, address, plan name, plan year end, and the Mutual of America stamp.</w:t>
      </w:r>
    </w:p>
    <w:p>
      <w:pPr>
        <w:pStyle w:val="ListBullet"/>
      </w:pPr>
      <w:r>
        <w:rPr>
          <w:rFonts w:ascii="Calibri" w:hAnsi="Calibri"/>
          <w:sz w:val="22"/>
        </w:rPr>
        <w:t>Action Required: compliance failure, PRIOR, CURRENT, after 12 months, variance, contributions, top heavy above 60%, and no action required.</w:t>
      </w:r>
    </w:p>
    <w:p>
      <w:pPr>
        <w:pStyle w:val="ListBullet"/>
      </w:pPr>
      <w:r>
        <w:rPr>
          <w:rFonts w:ascii="Calibri" w:hAnsi="Calibri"/>
          <w:sz w:val="22"/>
        </w:rPr>
        <w:t>Notices and letters: ADP and ACP stay when that test failed and returns are required. The 402(g) letter also stays only when the failure was processed by 15 April. The 415 information and letter stay when the plan failed 415. Returns are not required for 415.</w:t>
      </w:r>
    </w:p>
    <w:p>
      <w:pPr>
        <w:pStyle w:val="ListBullet"/>
      </w:pPr>
      <w:r>
        <w:rPr>
          <w:rFonts w:ascii="Calibri" w:hAnsi="Calibri"/>
          <w:sz w:val="22"/>
        </w:rPr>
        <w:t>Information pages: Excess Summary, Year End Recap bullets, and wording that must not ship.</w:t>
      </w:r>
    </w:p>
    <w:p>
      <w:pPr>
        <w:pStyle w:val="Heading2"/>
      </w:pPr>
      <w:r>
        <w:t>5.5 Notice and Letter Handling</w:t>
      </w:r>
    </w:p>
    <w:p>
      <w:r>
        <w:t>Notices and sample letters are edited on the pages the reviewer uploaded. The application does not create a new notice page.</w:t>
      </w:r>
    </w:p>
    <w:p>
      <w:pPr>
        <w:spacing w:before="160" w:after="40"/>
      </w:pPr>
      <w:r>
        <w:rPr>
          <w:rFonts w:ascii="Calibri" w:hAnsi="Calibri"/>
          <w:b/>
          <w:color w:val="0F4761"/>
          <w:sz w:val="22"/>
        </w:rPr>
        <w:t>Responsibilities</w:t>
      </w:r>
    </w:p>
    <w:p>
      <w:pPr>
        <w:pStyle w:val="ListBullet"/>
      </w:pPr>
      <w:r>
        <w:rPr>
          <w:rFonts w:ascii="Calibri" w:hAnsi="Calibri"/>
          <w:sz w:val="22"/>
        </w:rPr>
        <w:t>Keep or remove the ADP failure notice and the ADP sample letter.</w:t>
      </w:r>
    </w:p>
    <w:p>
      <w:pPr>
        <w:pStyle w:val="ListBullet"/>
      </w:pPr>
      <w:r>
        <w:rPr>
          <w:rFonts w:ascii="Calibri" w:hAnsi="Calibri"/>
          <w:sz w:val="22"/>
        </w:rPr>
        <w:t>Keep or remove the ACP failure notice and the ACP sample letter.</w:t>
      </w:r>
    </w:p>
    <w:p>
      <w:pPr>
        <w:pStyle w:val="ListBullet"/>
      </w:pPr>
      <w:r>
        <w:rPr>
          <w:rFonts w:ascii="Calibri" w:hAnsi="Calibri"/>
          <w:sz w:val="22"/>
        </w:rPr>
        <w:t>Remove the 402(g) letter when there are no returns, or when the failure was not processed by 15 April.</w:t>
      </w:r>
    </w:p>
    <w:p>
      <w:pPr>
        <w:pStyle w:val="ListBullet"/>
      </w:pPr>
      <w:r>
        <w:rPr>
          <w:rFonts w:ascii="Calibri" w:hAnsi="Calibri"/>
          <w:sz w:val="22"/>
        </w:rPr>
        <w:t>Remove the 415 failure information and the 415 letter when the plan did not fail 415.</w:t>
      </w:r>
    </w:p>
    <w:p>
      <w:pPr>
        <w:pStyle w:val="ListBullet"/>
      </w:pPr>
      <w:r>
        <w:rPr>
          <w:rFonts w:ascii="Calibri" w:hAnsi="Calibri"/>
          <w:sz w:val="22"/>
        </w:rPr>
        <w:t>Fill QNEC and refund amounts on a letter that stays.</w:t>
      </w:r>
    </w:p>
    <w:p>
      <w:pPr>
        <w:spacing w:before="160" w:after="40"/>
      </w:pPr>
      <w:r>
        <w:rPr>
          <w:rFonts w:ascii="Calibri" w:hAnsi="Calibri"/>
          <w:b/>
          <w:color w:val="0F4761"/>
          <w:sz w:val="22"/>
        </w:rPr>
        <w:t>Inputs</w:t>
      </w:r>
    </w:p>
    <w:p>
      <w:pPr>
        <w:pStyle w:val="ListBullet"/>
      </w:pPr>
      <w:r>
        <w:rPr>
          <w:rFonts w:ascii="Calibri" w:hAnsi="Calibri"/>
          <w:sz w:val="22"/>
        </w:rPr>
        <w:t>Plan facts</w:t>
      </w:r>
    </w:p>
    <w:p>
      <w:pPr>
        <w:pStyle w:val="ListBullet"/>
      </w:pPr>
      <w:r>
        <w:rPr>
          <w:rFonts w:ascii="Calibri" w:hAnsi="Calibri"/>
          <w:sz w:val="22"/>
        </w:rPr>
        <w:t>The rule decision for that test</w:t>
      </w:r>
    </w:p>
    <w:p>
      <w:pPr>
        <w:spacing w:before="160" w:after="40"/>
      </w:pPr>
      <w:r>
        <w:rPr>
          <w:rFonts w:ascii="Calibri" w:hAnsi="Calibri"/>
          <w:b/>
          <w:color w:val="0F4761"/>
          <w:sz w:val="22"/>
        </w:rPr>
        <w:t>Outputs</w:t>
      </w:r>
    </w:p>
    <w:p>
      <w:pPr>
        <w:pStyle w:val="ListBullet"/>
      </w:pPr>
      <w:r>
        <w:rPr>
          <w:rFonts w:ascii="Calibri" w:hAnsi="Calibri"/>
          <w:sz w:val="22"/>
        </w:rPr>
        <w:t>The same PDF, with notices kept, removed, or filled</w:t>
      </w:r>
    </w:p>
    <w:p>
      <w:pPr>
        <w:pStyle w:val="Heading2"/>
      </w:pPr>
      <w:r>
        <w:t>5.6 Package Assembly Engine</w:t>
      </w:r>
    </w:p>
    <w:p>
      <w:pPr>
        <w:spacing w:before="160" w:after="40"/>
      </w:pPr>
      <w:r>
        <w:rPr>
          <w:rFonts w:ascii="Calibri" w:hAnsi="Calibri"/>
          <w:b/>
          <w:color w:val="0F4761"/>
          <w:sz w:val="22"/>
        </w:rPr>
        <w:t>Responsibilities</w:t>
      </w:r>
    </w:p>
    <w:p>
      <w:pPr>
        <w:pStyle w:val="ListBullet"/>
      </w:pPr>
      <w:r>
        <w:rPr>
          <w:rFonts w:ascii="Calibri" w:hAnsi="Calibri"/>
          <w:sz w:val="22"/>
        </w:rPr>
        <w:t>Merge the uploaded pages in the order on the screen.</w:t>
      </w:r>
    </w:p>
    <w:p>
      <w:pPr>
        <w:pStyle w:val="ListBullet"/>
      </w:pPr>
      <w:r>
        <w:rPr>
          <w:rFonts w:ascii="Calibri" w:hAnsi="Calibri"/>
          <w:sz w:val="22"/>
        </w:rPr>
        <w:t>Leave out a 401(k) BRF report. A 403(b) package keeps the BRF report. The Result Summary line can remain.</w:t>
      </w:r>
    </w:p>
    <w:p>
      <w:pPr>
        <w:pStyle w:val="ListBullet"/>
      </w:pPr>
      <w:r>
        <w:rPr>
          <w:rFonts w:ascii="Calibri" w:hAnsi="Calibri"/>
          <w:sz w:val="22"/>
        </w:rPr>
        <w:t>Remove audited wording, Statement of Contribution, 5500 wording, and escalation wording. A 457 package keeps Statement of Contribution wording.</w:t>
      </w:r>
    </w:p>
    <w:p>
      <w:pPr>
        <w:pStyle w:val="ListBullet"/>
      </w:pPr>
      <w:r>
        <w:rPr>
          <w:rFonts w:ascii="Calibri" w:hAnsi="Calibri"/>
          <w:sz w:val="22"/>
        </w:rPr>
        <w:t>Apply the inner page order when the headings match.</w:t>
      </w:r>
    </w:p>
    <w:p>
      <w:pPr>
        <w:pStyle w:val="ListBullet"/>
      </w:pPr>
      <w:r>
        <w:rPr>
          <w:rFonts w:ascii="Calibri" w:hAnsi="Calibri"/>
          <w:sz w:val="22"/>
        </w:rPr>
        <w:t>Write one bookmark for each section that remains. A 401(k) package does not bookmark BRF. A 403(b) package does. Variance is not bookmarked.</w:t>
      </w:r>
    </w:p>
    <w:p>
      <w:pPr>
        <w:pStyle w:val="ListBullet"/>
      </w:pPr>
      <w:r>
        <w:rPr>
          <w:rFonts w:ascii="Calibri" w:hAnsi="Calibri"/>
          <w:sz w:val="22"/>
        </w:rPr>
        <w:t>A 401(k) plan uses HCE/Key, and ADP Test, ACP Test, or ADP/ACP Tests. A 403(b) plan uses HCE and ACP Test.</w:t>
      </w:r>
    </w:p>
    <w:p>
      <w:pPr>
        <w:spacing w:before="160" w:after="40"/>
      </w:pPr>
      <w:r>
        <w:rPr>
          <w:rFonts w:ascii="Calibri" w:hAnsi="Calibri"/>
          <w:b/>
          <w:color w:val="0F4761"/>
          <w:sz w:val="22"/>
        </w:rPr>
        <w:t>Outputs</w:t>
      </w:r>
    </w:p>
    <w:p>
      <w:pPr>
        <w:pStyle w:val="ListBullet"/>
      </w:pPr>
      <w:r>
        <w:rPr>
          <w:rFonts w:ascii="Calibri" w:hAnsi="Calibri"/>
          <w:sz w:val="22"/>
        </w:rPr>
        <w:t>The file is named {Plan number}_{Beginning plan year}-Valuation.pdf. Example: 800643_2025-Valuation.pdf.</w:t>
      </w:r>
    </w:p>
    <w:p>
      <w:pPr>
        <w:pStyle w:val="Heading2"/>
      </w:pPr>
      <w:r>
        <w:t>5.7 Completion Services</w:t>
      </w:r>
    </w:p>
    <w:p>
      <w:pPr>
        <w:spacing w:before="160" w:after="40"/>
      </w:pPr>
      <w:r>
        <w:rPr>
          <w:rFonts w:ascii="Calibri" w:hAnsi="Calibri"/>
          <w:b/>
          <w:color w:val="0F4761"/>
          <w:sz w:val="22"/>
        </w:rPr>
        <w:t>Email subject</w:t>
      </w:r>
    </w:p>
    <w:p>
      <w:r>
        <w:t>The draft subject uses dashes. Rush or Rework is added when the valuation log says so:</w:t>
      </w:r>
    </w:p>
    <w:p>
      <w:r>
        <w:rPr>
          <w:rFonts w:ascii="Consolas" w:hAnsi="Consolas"/>
          <w:b/>
          <w:sz w:val="22"/>
        </w:rPr>
        <w:t>MOA - {plan number} - {plan name} - PYE {plan year end}</w:t>
      </w:r>
    </w:p>
    <w:p>
      <w:r>
        <w:t>Example: MOA - 800643 - Example Plan - PYE 12/31/2025. Both Rush and Rework: MOA - Rush Rework - 800643 - Example Plan - PYE 12/31/2025.</w:t>
      </w:r>
    </w:p>
    <w:p>
      <w:r>
        <w:t>The file is an Outlook draft with an empty To line. The reviewer sends it.</w:t>
      </w:r>
    </w:p>
    <w:p>
      <w:pPr>
        <w:spacing w:before="160" w:after="40"/>
      </w:pPr>
      <w:r>
        <w:rPr>
          <w:rFonts w:ascii="Calibri" w:hAnsi="Calibri"/>
          <w:b/>
          <w:color w:val="0F4761"/>
          <w:sz w:val="22"/>
        </w:rPr>
        <w:t>Valuation log update</w:t>
      </w:r>
    </w:p>
    <w:p>
      <w:r>
        <w:t>One row is added to the Val Assembly Log, using the client columns:</w:t>
      </w:r>
    </w:p>
    <w:p>
      <w:pPr>
        <w:pStyle w:val="ListBullet"/>
      </w:pPr>
      <w:r>
        <w:rPr>
          <w:rFonts w:ascii="Calibri" w:hAnsi="Calibri"/>
          <w:sz w:val="22"/>
        </w:rPr>
        <w:t>Omni Plan Number and Plan Name.</w:t>
      </w:r>
    </w:p>
    <w:p>
      <w:pPr>
        <w:pStyle w:val="ListBullet"/>
      </w:pPr>
      <w:r>
        <w:rPr>
          <w:rFonts w:ascii="Calibri" w:hAnsi="Calibri"/>
          <w:sz w:val="22"/>
        </w:rPr>
        <w:t>Future HCE and current-year HCE: Yes or No.</w:t>
      </w:r>
    </w:p>
    <w:p>
      <w:pPr>
        <w:pStyle w:val="ListBullet"/>
      </w:pPr>
      <w:r>
        <w:rPr>
          <w:rFonts w:ascii="Calibri" w:hAnsi="Calibri"/>
          <w:sz w:val="22"/>
        </w:rPr>
        <w:t>Allocation: Variance, Annual, or Annual-Var. A true-up with no variance is noted as a 0.00 variance.</w:t>
      </w:r>
    </w:p>
    <w:p>
      <w:pPr>
        <w:pStyle w:val="ListBullet"/>
      </w:pPr>
      <w:r>
        <w:rPr>
          <w:rFonts w:ascii="Calibri" w:hAnsi="Calibri"/>
          <w:sz w:val="22"/>
        </w:rPr>
        <w:t>ADP/ACP, 402(g), 410(b), ABP, 414(s), 401(a)(4), 415, and BRF: P, F, or N/A.</w:t>
      </w:r>
    </w:p>
    <w:p>
      <w:pPr>
        <w:pStyle w:val="ListBullet"/>
      </w:pPr>
      <w:r>
        <w:rPr>
          <w:rFonts w:ascii="Calibri" w:hAnsi="Calibri"/>
          <w:sz w:val="22"/>
        </w:rPr>
        <w:t>Top Heavy: Yes or No. Compensation limit: N/A.</w:t>
      </w:r>
    </w:p>
    <w:p>
      <w:pPr>
        <w:pStyle w:val="ListBullet"/>
      </w:pPr>
      <w:r>
        <w:rPr>
          <w:rFonts w:ascii="Calibri" w:hAnsi="Calibri"/>
          <w:sz w:val="22"/>
        </w:rPr>
        <w:t>FIS, related plans, MEP, and safe harbor are left blank for the tester.</w:t>
      </w:r>
    </w:p>
    <w:p>
      <w:pPr>
        <w:spacing w:before="160" w:after="40"/>
      </w:pPr>
      <w:r>
        <w:rPr>
          <w:rFonts w:ascii="Calibri" w:hAnsi="Calibri"/>
          <w:b/>
          <w:color w:val="0F4761"/>
          <w:sz w:val="22"/>
        </w:rPr>
        <w:t>Preview</w:t>
      </w:r>
    </w:p>
    <w:p>
      <w:r>
        <w:t>Highlight changes can be turned on or off. Yellow marks show rewritten words. They are drawn for the preview only. The downloaded PDF does not contain them.</w:t>
      </w:r>
    </w:p>
    <w:p>
      <w:pPr>
        <w:pStyle w:val="Heading1"/>
      </w:pPr>
      <w:r>
        <w:t>6. Data Flow</w:t>
      </w:r>
    </w:p>
    <w:p>
      <w:pPr>
        <w:spacing w:before="160" w:after="40"/>
      </w:pPr>
      <w:r>
        <w:rPr>
          <w:rFonts w:ascii="Calibri" w:hAnsi="Calibri"/>
          <w:b/>
          <w:color w:val="0F4761"/>
          <w:sz w:val="22"/>
        </w:rPr>
        <w:t>Processing Workflow</w:t>
      </w:r>
    </w:p>
    <w:p>
      <w:pPr>
        <w:spacing w:before="120" w:after="160"/>
        <w:jc w:val="center"/>
      </w:pPr>
      <w:r>
        <w:drawing>
          <wp:inline xmlns:a="http://schemas.openxmlformats.org/drawingml/2006/main" xmlns:pic="http://schemas.openxmlformats.org/drawingml/2006/picture">
            <wp:extent cx="6309360" cy="1829714"/>
            <wp:docPr id="2" name="Picture 2"/>
            <wp:cNvGraphicFramePr>
              <a:graphicFrameLocks noChangeAspect="1"/>
            </wp:cNvGraphicFramePr>
            <a:graphic>
              <a:graphicData uri="http://schemas.openxmlformats.org/drawingml/2006/picture">
                <pic:pic>
                  <pic:nvPicPr>
                    <pic:cNvPr id="0" name="sdd-workflow.jpg"/>
                    <pic:cNvPicPr/>
                  </pic:nvPicPr>
                  <pic:blipFill>
                    <a:blip r:embed="rId10"/>
                    <a:stretch>
                      <a:fillRect/>
                    </a:stretch>
                  </pic:blipFill>
                  <pic:spPr>
                    <a:xfrm>
                      <a:off x="0" y="0"/>
                      <a:ext cx="6309360" cy="1829714"/>
                    </a:xfrm>
                    <a:prstGeom prst="rect"/>
                  </pic:spPr>
                </pic:pic>
              </a:graphicData>
            </a:graphic>
          </wp:inline>
        </w:drawing>
      </w:r>
    </w:p>
    <w:p>
      <w:pPr>
        <w:pStyle w:val="ListBullet"/>
      </w:pPr>
      <w:r>
        <w:rPr>
          <w:rFonts w:ascii="Calibri" w:hAnsi="Calibri"/>
          <w:sz w:val="22"/>
        </w:rPr>
        <w:t>The reviewer uploads the PDFs and, when they have it, the valuation log Excel.</w:t>
      </w:r>
    </w:p>
    <w:p>
      <w:pPr>
        <w:pStyle w:val="ListBullet"/>
      </w:pPr>
      <w:r>
        <w:rPr>
          <w:rFonts w:ascii="Calibri" w:hAnsi="Calibri"/>
          <w:sz w:val="22"/>
        </w:rPr>
        <w:t>The application reads the PDFs, splits a multi-page cover, and leaves out a 401(k) BRF report file. A 403(b) BRF report stays.</w:t>
      </w:r>
    </w:p>
    <w:p>
      <w:pPr>
        <w:pStyle w:val="ListBullet"/>
      </w:pPr>
      <w:r>
        <w:rPr>
          <w:rFonts w:ascii="Calibri" w:hAnsi="Calibri"/>
          <w:sz w:val="22"/>
        </w:rPr>
        <w:t>Plan facts are read from the cover, the Result Summary, and the Excel log.</w:t>
      </w:r>
    </w:p>
    <w:p>
      <w:pPr>
        <w:pStyle w:val="ListBullet"/>
      </w:pPr>
      <w:r>
        <w:rPr>
          <w:rFonts w:ascii="Calibri" w:hAnsi="Calibri"/>
          <w:sz w:val="22"/>
        </w:rPr>
        <w:t>The rules decide what stays.</w:t>
      </w:r>
    </w:p>
    <w:p>
      <w:pPr>
        <w:pStyle w:val="ListBullet"/>
      </w:pPr>
      <w:r>
        <w:rPr>
          <w:rFonts w:ascii="Calibri" w:hAnsi="Calibri"/>
          <w:sz w:val="22"/>
        </w:rPr>
        <w:t>Notices and letters already in the PDF are kept, removed, or filled. Every Process sets the cover date to today and rewrites off-calendar 402(g) dates. If the reviewer checked the HCE box, the prior-year HCE % is rewritten where the printed text matches. A missing Action Required fact removes that paragraph.</w:t>
      </w:r>
    </w:p>
    <w:p>
      <w:pPr>
        <w:pStyle w:val="ListBullet"/>
      </w:pPr>
      <w:r>
        <w:rPr>
          <w:rFonts w:ascii="Calibri" w:hAnsi="Calibri"/>
          <w:sz w:val="22"/>
        </w:rPr>
        <w:t>Pages are assembled: inner pages are reordered when their headings match, and wording that must not ship is removed.</w:t>
      </w:r>
    </w:p>
    <w:p>
      <w:pPr>
        <w:pStyle w:val="ListBullet"/>
      </w:pPr>
      <w:r>
        <w:rPr>
          <w:rFonts w:ascii="Calibri" w:hAnsi="Calibri"/>
          <w:sz w:val="22"/>
        </w:rPr>
        <w:t>Checks run on the finished pages.</w:t>
      </w:r>
    </w:p>
    <w:p>
      <w:pPr>
        <w:pStyle w:val="ListBullet"/>
      </w:pPr>
      <w:r>
        <w:rPr>
          <w:rFonts w:ascii="Calibri" w:hAnsi="Calibri"/>
          <w:sz w:val="22"/>
        </w:rPr>
        <w:t>Bookmarks are written.</w:t>
      </w:r>
    </w:p>
    <w:p>
      <w:pPr>
        <w:pStyle w:val="ListBullet"/>
      </w:pPr>
      <w:r>
        <w:rPr>
          <w:rFonts w:ascii="Calibri" w:hAnsi="Calibri"/>
          <w:sz w:val="22"/>
        </w:rPr>
        <w:t>The Outlook draft is created.</w:t>
      </w:r>
    </w:p>
    <w:p>
      <w:pPr>
        <w:pStyle w:val="ListBullet"/>
      </w:pPr>
      <w:r>
        <w:rPr>
          <w:rFonts w:ascii="Calibri" w:hAnsi="Calibri"/>
          <w:sz w:val="22"/>
        </w:rPr>
        <w:t>A row is added to the Val Assembly Log.</w:t>
      </w:r>
    </w:p>
    <w:p>
      <w:pPr>
        <w:pStyle w:val="ListBullet"/>
      </w:pPr>
      <w:r>
        <w:rPr>
          <w:rFonts w:ascii="Calibri" w:hAnsi="Calibri"/>
          <w:sz w:val="22"/>
        </w:rPr>
        <w:t>The named PDF is saved unless Assembly stops is on and a required check failed. The reviewer downloads the clean file.</w:t>
      </w:r>
    </w:p>
    <w:p>
      <w:pPr>
        <w:pStyle w:val="Heading1"/>
      </w:pPr>
      <w:r>
        <w:t>7. Deployment Architecture</w:t>
      </w:r>
    </w:p>
    <w:p>
      <w:r>
        <w:t>Each reviewer runs the application on their own computer. Nothing in this design is deployed to a central server.</w:t>
      </w:r>
    </w:p>
    <w:p>
      <w:pPr>
        <w:spacing w:before="120" w:after="160"/>
        <w:jc w:val="center"/>
      </w:pPr>
      <w:r>
        <w:drawing>
          <wp:inline xmlns:a="http://schemas.openxmlformats.org/drawingml/2006/main" xmlns:pic="http://schemas.openxmlformats.org/drawingml/2006/picture">
            <wp:extent cx="6309360" cy="3549015"/>
            <wp:docPr id="3" name="Picture 3"/>
            <wp:cNvGraphicFramePr>
              <a:graphicFrameLocks noChangeAspect="1"/>
            </wp:cNvGraphicFramePr>
            <a:graphic>
              <a:graphicData uri="http://schemas.openxmlformats.org/drawingml/2006/picture">
                <pic:pic>
                  <pic:nvPicPr>
                    <pic:cNvPr id="0" name="sdd-deployment.jpg"/>
                    <pic:cNvPicPr/>
                  </pic:nvPicPr>
                  <pic:blipFill>
                    <a:blip r:embed="rId11"/>
                    <a:stretch>
                      <a:fillRect/>
                    </a:stretch>
                  </pic:blipFill>
                  <pic:spPr>
                    <a:xfrm>
                      <a:off x="0" y="0"/>
                      <a:ext cx="6309360" cy="3549015"/>
                    </a:xfrm>
                    <a:prstGeom prst="rect"/>
                  </pic:spPr>
                </pic:pic>
              </a:graphicData>
            </a:graphic>
          </wp:inline>
        </w:drawing>
      </w:r>
    </w:p>
    <w:p>
      <w:pPr>
        <w:pStyle w:val="ListBullet"/>
      </w:pPr>
      <w:r>
        <w:rPr>
          <w:rFonts w:ascii="Calibri" w:hAnsi="Calibri"/>
          <w:sz w:val="22"/>
        </w:rPr>
        <w:t>Opened in a browser at http://127.0.0.1:8002.</w:t>
      </w:r>
    </w:p>
    <w:p>
      <w:pPr>
        <w:pStyle w:val="ListBullet"/>
      </w:pPr>
      <w:r>
        <w:rPr>
          <w:rFonts w:ascii="Calibri" w:hAnsi="Calibri"/>
          <w:sz w:val="22"/>
        </w:rPr>
        <w:t>PDF, Excel, and the email draft are stored on that computer. There is no database.</w:t>
      </w:r>
    </w:p>
    <w:p>
      <w:pPr>
        <w:pStyle w:val="ListBullet"/>
      </w:pPr>
      <w:r>
        <w:rPr>
          <w:rFonts w:ascii="Calibri" w:hAnsi="Calibri"/>
          <w:sz w:val="22"/>
        </w:rPr>
        <w:t>On Windows, run.bat in the application folder creates the local environment if needed and starts the application.</w:t>
      </w:r>
    </w:p>
    <w:p>
      <w:pPr>
        <w:pStyle w:val="ListBullet"/>
      </w:pPr>
      <w:r>
        <w:rPr>
          <w:rFonts w:ascii="Calibri" w:hAnsi="Calibri"/>
          <w:sz w:val="22"/>
        </w:rPr>
        <w:t>The first run on a new computer needs a network connection to install the PDF and Excel libraries.</w:t>
      </w:r>
    </w:p>
    <w:p>
      <w:pPr>
        <w:pStyle w:val="Heading1"/>
      </w:pPr>
      <w:r>
        <w:t>8. Risks &amp; Mitigation</w:t>
      </w:r>
    </w:p>
    <w:tbl>
      <w:tblPr>
        <w:tblStyle w:val="TableGrid"/>
        <w:tblW w:type="auto" w:w="0"/>
        <w:tblLayout w:type="autofit"/>
        <w:tblLook w:firstColumn="1" w:firstRow="1" w:lastColumn="0" w:lastRow="0" w:noHBand="0" w:noVBand="1" w:val="04A0"/>
      </w:tblPr>
      <w:tblGrid>
        <w:gridCol w:w="3364"/>
        <w:gridCol w:w="3364"/>
        <w:gridCol w:w="3364"/>
      </w:tblGrid>
      <w:tr>
        <w:tc>
          <w:tcPr>
            <w:tcW w:type="dxa" w:w="3364"/>
            <w:shd w:fill="0F6E6B" w:val="clear"/>
          </w:tcPr>
          <w:p>
            <w:r/>
            <w:r>
              <w:rPr>
                <w:rFonts w:ascii="Calibri" w:hAnsi="Calibri"/>
                <w:b/>
                <w:color w:val="FFFFFF"/>
                <w:sz w:val="18"/>
              </w:rPr>
              <w:t>Risk</w:t>
            </w:r>
          </w:p>
        </w:tc>
        <w:tc>
          <w:tcPr>
            <w:tcW w:type="dxa" w:w="3364"/>
            <w:shd w:fill="0F6E6B" w:val="clear"/>
          </w:tcPr>
          <w:p>
            <w:r/>
            <w:r>
              <w:rPr>
                <w:rFonts w:ascii="Calibri" w:hAnsi="Calibri"/>
                <w:b/>
                <w:color w:val="FFFFFF"/>
                <w:sz w:val="18"/>
              </w:rPr>
              <w:t>Impact</w:t>
            </w:r>
          </w:p>
        </w:tc>
        <w:tc>
          <w:tcPr>
            <w:tcW w:type="dxa" w:w="3364"/>
            <w:shd w:fill="0F6E6B" w:val="clear"/>
          </w:tcPr>
          <w:p>
            <w:r/>
            <w:r>
              <w:rPr>
                <w:rFonts w:ascii="Calibri" w:hAnsi="Calibri"/>
                <w:b/>
                <w:color w:val="FFFFFF"/>
                <w:sz w:val="18"/>
              </w:rPr>
              <w:t>Mitigation</w:t>
            </w:r>
          </w:p>
        </w:tc>
      </w:tr>
      <w:tr>
        <w:tc>
          <w:tcPr>
            <w:tcW w:type="dxa" w:w="3364"/>
          </w:tcPr>
          <w:p>
            <w:r/>
            <w:r>
              <w:rPr>
                <w:rFonts w:ascii="Calibri" w:hAnsi="Calibri"/>
                <w:b w:val="0"/>
                <w:color w:val="1F2937"/>
                <w:sz w:val="18"/>
              </w:rPr>
              <w:t>A PDF is a scan with no text</w:t>
            </w:r>
          </w:p>
        </w:tc>
        <w:tc>
          <w:tcPr>
            <w:tcW w:type="dxa" w:w="3364"/>
          </w:tcPr>
          <w:p>
            <w:r/>
            <w:r>
              <w:rPr>
                <w:rFonts w:ascii="Calibri" w:hAnsi="Calibri"/>
                <w:b w:val="0"/>
                <w:color w:val="1F2937"/>
                <w:sz w:val="18"/>
              </w:rPr>
              <w:t>Rules, bookmarks, the filename, and the log cannot be filled</w:t>
            </w:r>
          </w:p>
        </w:tc>
        <w:tc>
          <w:tcPr>
            <w:tcW w:type="dxa" w:w="3364"/>
          </w:tcPr>
          <w:p>
            <w:r/>
            <w:r>
              <w:rPr>
                <w:rFonts w:ascii="Calibri" w:hAnsi="Calibri"/>
                <w:b w:val="0"/>
                <w:color w:val="1F2937"/>
                <w:sz w:val="18"/>
              </w:rPr>
              <w:t>The package is still combined. The checks show that the facts were not read. Optical character recognition is out of scope.</w:t>
            </w:r>
          </w:p>
        </w:tc>
      </w:tr>
      <w:tr>
        <w:tc>
          <w:tcPr>
            <w:tcW w:type="dxa" w:w="3364"/>
            <w:shd w:fill="F4F7F8" w:val="clear"/>
          </w:tcPr>
          <w:p>
            <w:r/>
            <w:r>
              <w:rPr>
                <w:rFonts w:ascii="Calibri" w:hAnsi="Calibri"/>
                <w:b w:val="0"/>
                <w:color w:val="1F2937"/>
                <w:sz w:val="18"/>
              </w:rPr>
              <w:t>The printed date or percentage does not match the pattern</w:t>
            </w:r>
          </w:p>
        </w:tc>
        <w:tc>
          <w:tcPr>
            <w:tcW w:type="dxa" w:w="3364"/>
            <w:shd w:fill="F4F7F8" w:val="clear"/>
          </w:tcPr>
          <w:p>
            <w:r/>
            <w:r>
              <w:rPr>
                <w:rFonts w:ascii="Calibri" w:hAnsi="Calibri"/>
                <w:b w:val="0"/>
                <w:color w:val="1F2937"/>
                <w:sz w:val="18"/>
              </w:rPr>
              <w:t>Retype leaves that line as printed</w:t>
            </w:r>
          </w:p>
        </w:tc>
        <w:tc>
          <w:tcPr>
            <w:tcW w:type="dxa" w:w="3364"/>
            <w:shd w:fill="F4F7F8" w:val="clear"/>
          </w:tcPr>
          <w:p>
            <w:r/>
            <w:r>
              <w:rPr>
                <w:rFonts w:ascii="Calibri" w:hAnsi="Calibri"/>
                <w:b w:val="0"/>
                <w:color w:val="1F2937"/>
                <w:sz w:val="18"/>
              </w:rPr>
              <w:t>The result notes say what was left as printed. The cover-date check fails until the date is today.</w:t>
            </w:r>
          </w:p>
        </w:tc>
      </w:tr>
      <w:tr>
        <w:tc>
          <w:tcPr>
            <w:tcW w:type="dxa" w:w="3364"/>
          </w:tcPr>
          <w:p>
            <w:r/>
            <w:r>
              <w:rPr>
                <w:rFonts w:ascii="Calibri" w:hAnsi="Calibri"/>
                <w:b w:val="0"/>
                <w:color w:val="1F2937"/>
                <w:sz w:val="18"/>
              </w:rPr>
              <w:t>Wording on a source letter changes</w:t>
            </w:r>
          </w:p>
        </w:tc>
        <w:tc>
          <w:tcPr>
            <w:tcW w:type="dxa" w:w="3364"/>
          </w:tcPr>
          <w:p>
            <w:r/>
            <w:r>
              <w:rPr>
                <w:rFonts w:ascii="Calibri" w:hAnsi="Calibri"/>
                <w:b w:val="0"/>
                <w:color w:val="1F2937"/>
                <w:sz w:val="18"/>
              </w:rPr>
              <w:t>A keep or remove can miss a paragraph</w:t>
            </w:r>
          </w:p>
        </w:tc>
        <w:tc>
          <w:tcPr>
            <w:tcW w:type="dxa" w:w="3364"/>
          </w:tcPr>
          <w:p>
            <w:r/>
            <w:r>
              <w:rPr>
                <w:rFonts w:ascii="Calibri" w:hAnsi="Calibri"/>
                <w:b w:val="0"/>
                <w:color w:val="1F2937"/>
                <w:sz w:val="18"/>
              </w:rPr>
              <w:t>The match text is configuration, so it can be updated without rewriting the application.</w:t>
            </w:r>
          </w:p>
        </w:tc>
      </w:tr>
      <w:tr>
        <w:tc>
          <w:tcPr>
            <w:tcW w:type="dxa" w:w="3364"/>
            <w:shd w:fill="F4F7F8" w:val="clear"/>
          </w:tcPr>
          <w:p>
            <w:r/>
            <w:r>
              <w:rPr>
                <w:rFonts w:ascii="Calibri" w:hAnsi="Calibri"/>
                <w:b w:val="0"/>
                <w:color w:val="1F2937"/>
                <w:sz w:val="18"/>
              </w:rPr>
              <w:t>Two people assemble the same plan</w:t>
            </w:r>
          </w:p>
        </w:tc>
        <w:tc>
          <w:tcPr>
            <w:tcW w:type="dxa" w:w="3364"/>
            <w:shd w:fill="F4F7F8" w:val="clear"/>
          </w:tcPr>
          <w:p>
            <w:r/>
            <w:r>
              <w:rPr>
                <w:rFonts w:ascii="Calibri" w:hAnsi="Calibri"/>
                <w:b w:val="0"/>
                <w:color w:val="1F2937"/>
                <w:sz w:val="18"/>
              </w:rPr>
              <w:t>Duplicate work</w:t>
            </w:r>
          </w:p>
        </w:tc>
        <w:tc>
          <w:tcPr>
            <w:tcW w:type="dxa" w:w="3364"/>
            <w:shd w:fill="F4F7F8" w:val="clear"/>
          </w:tcPr>
          <w:p>
            <w:r/>
            <w:r>
              <w:rPr>
                <w:rFonts w:ascii="Calibri" w:hAnsi="Calibri"/>
                <w:b w:val="0"/>
                <w:color w:val="1F2937"/>
                <w:sz w:val="18"/>
              </w:rPr>
              <w:t>Claiming the plan stays on the Testing Log, which the reviewer signs before starting.</w:t>
            </w:r>
          </w:p>
        </w:tc>
      </w:tr>
      <w:tr>
        <w:tc>
          <w:tcPr>
            <w:tcW w:type="dxa" w:w="3364"/>
          </w:tcPr>
          <w:p>
            <w:r/>
            <w:r>
              <w:rPr>
                <w:rFonts w:ascii="Calibri" w:hAnsi="Calibri"/>
                <w:b w:val="0"/>
                <w:color w:val="1F2937"/>
                <w:sz w:val="18"/>
              </w:rPr>
              <w:t>An off-calendar plan year</w:t>
            </w:r>
          </w:p>
        </w:tc>
        <w:tc>
          <w:tcPr>
            <w:tcW w:type="dxa" w:w="3364"/>
          </w:tcPr>
          <w:p>
            <w:r/>
            <w:r>
              <w:rPr>
                <w:rFonts w:ascii="Calibri" w:hAnsi="Calibri"/>
                <w:b w:val="0"/>
                <w:color w:val="1F2937"/>
                <w:sz w:val="18"/>
              </w:rPr>
              <w:t>402(g) dates can be wrong if retype is skipped</w:t>
            </w:r>
          </w:p>
        </w:tc>
        <w:tc>
          <w:tcPr>
            <w:tcW w:type="dxa" w:w="3364"/>
          </w:tcPr>
          <w:p>
            <w:r/>
            <w:r>
              <w:rPr>
                <w:rFonts w:ascii="Calibri" w:hAnsi="Calibri"/>
                <w:b w:val="0"/>
                <w:color w:val="1F2937"/>
                <w:sz w:val="18"/>
              </w:rPr>
              <w:t>When retype is checked, those dates are rewritten only on pages that contain 402.</w:t>
            </w:r>
          </w:p>
        </w:tc>
      </w:tr>
    </w:tbl>
    <w:p/>
    <w:p>
      <w:pPr>
        <w:pStyle w:val="Heading1"/>
      </w:pPr>
      <w:r>
        <w:t>9. Dependencies</w:t>
      </w:r>
    </w:p>
    <w:p>
      <w:pPr>
        <w:spacing w:before="160" w:after="40"/>
      </w:pPr>
      <w:r>
        <w:rPr>
          <w:rFonts w:ascii="Calibri" w:hAnsi="Calibri"/>
          <w:b/>
          <w:color w:val="0F4761"/>
          <w:sz w:val="22"/>
        </w:rPr>
        <w:t>Business dependencies</w:t>
      </w:r>
    </w:p>
    <w:p>
      <w:pPr>
        <w:pStyle w:val="ListBullet"/>
      </w:pPr>
      <w:r>
        <w:rPr>
          <w:rFonts w:ascii="Calibri" w:hAnsi="Calibri"/>
          <w:sz w:val="22"/>
        </w:rPr>
        <w:t>The valuation package procedure and the quick review checklist.</w:t>
      </w:r>
    </w:p>
    <w:p>
      <w:pPr>
        <w:pStyle w:val="ListBullet"/>
      </w:pPr>
      <w:r>
        <w:rPr>
          <w:rFonts w:ascii="Calibri" w:hAnsi="Calibri"/>
          <w:sz w:val="22"/>
        </w:rPr>
        <w:t>The client column list for the Val Assembly Log.</w:t>
      </w:r>
    </w:p>
    <w:p>
      <w:pPr>
        <w:pStyle w:val="ListBullet"/>
      </w:pPr>
      <w:r>
        <w:rPr>
          <w:rFonts w:ascii="Calibri" w:hAnsi="Calibri"/>
          <w:sz w:val="22"/>
        </w:rPr>
        <w:t>A reviewer available to confirm a keep-or-remove decision during testing.</w:t>
      </w:r>
    </w:p>
    <w:p>
      <w:pPr>
        <w:spacing w:before="160" w:after="40"/>
      </w:pPr>
      <w:r>
        <w:rPr>
          <w:rFonts w:ascii="Calibri" w:hAnsi="Calibri"/>
          <w:b/>
          <w:color w:val="0F4761"/>
          <w:sz w:val="22"/>
        </w:rPr>
        <w:t>Technical dependencies</w:t>
      </w:r>
    </w:p>
    <w:p>
      <w:pPr>
        <w:pStyle w:val="ListBullet"/>
      </w:pPr>
      <w:r>
        <w:rPr>
          <w:rFonts w:ascii="Calibri" w:hAnsi="Calibri"/>
          <w:sz w:val="22"/>
        </w:rPr>
        <w:t>Python on the reviewer’s computer.</w:t>
      </w:r>
    </w:p>
    <w:p>
      <w:pPr>
        <w:pStyle w:val="ListBullet"/>
      </w:pPr>
      <w:r>
        <w:rPr>
          <w:rFonts w:ascii="Calibri" w:hAnsi="Calibri"/>
          <w:sz w:val="22"/>
        </w:rPr>
        <w:t>FastAPI.</w:t>
      </w:r>
    </w:p>
    <w:p>
      <w:pPr>
        <w:pStyle w:val="ListBullet"/>
      </w:pPr>
      <w:r>
        <w:rPr>
          <w:rFonts w:ascii="Calibri" w:hAnsi="Calibri"/>
          <w:sz w:val="22"/>
        </w:rPr>
        <w:t>PyMuPDF.</w:t>
      </w:r>
    </w:p>
    <w:p>
      <w:pPr>
        <w:pStyle w:val="ListBullet"/>
      </w:pPr>
      <w:r>
        <w:rPr>
          <w:rFonts w:ascii="Calibri" w:hAnsi="Calibri"/>
          <w:sz w:val="22"/>
        </w:rPr>
        <w:t>Excel read and write.</w:t>
      </w:r>
    </w:p>
    <w:p>
      <w:pPr>
        <w:pStyle w:val="ListBullet"/>
      </w:pPr>
      <w:r>
        <w:rPr>
          <w:rFonts w:ascii="Calibri" w:hAnsi="Calibri"/>
          <w:sz w:val="22"/>
        </w:rPr>
        <w:t>A folder the application can write, for the PDF, the email draft, and the log.</w:t>
      </w:r>
    </w:p>
    <w:p>
      <w:pPr>
        <w:spacing w:before="160" w:after="40"/>
      </w:pPr>
      <w:r>
        <w:rPr>
          <w:rFonts w:ascii="Calibri" w:hAnsi="Calibri"/>
          <w:b/>
          <w:color w:val="0F4761"/>
          <w:sz w:val="22"/>
        </w:rPr>
        <w:t>Test data dependencies</w:t>
      </w:r>
    </w:p>
    <w:p>
      <w:pPr>
        <w:pStyle w:val="ListBullet"/>
      </w:pPr>
      <w:r>
        <w:rPr>
          <w:rFonts w:ascii="Calibri" w:hAnsi="Calibri"/>
          <w:sz w:val="22"/>
        </w:rPr>
        <w:t>CURRENT method, pass and fail.</w:t>
      </w:r>
    </w:p>
    <w:p>
      <w:pPr>
        <w:pStyle w:val="ListBullet"/>
      </w:pPr>
      <w:r>
        <w:rPr>
          <w:rFonts w:ascii="Calibri" w:hAnsi="Calibri"/>
          <w:sz w:val="22"/>
        </w:rPr>
        <w:t>PRIOR method, pass and fail.</w:t>
      </w:r>
    </w:p>
    <w:p>
      <w:pPr>
        <w:pStyle w:val="ListBullet"/>
      </w:pPr>
      <w:r>
        <w:rPr>
          <w:rFonts w:ascii="Calibri" w:hAnsi="Calibri"/>
          <w:sz w:val="22"/>
        </w:rPr>
        <w:t>402(g), including a failure not processed by 15 April.</w:t>
      </w:r>
    </w:p>
    <w:p>
      <w:pPr>
        <w:pStyle w:val="ListBullet"/>
      </w:pPr>
      <w:r>
        <w:rPr>
          <w:rFonts w:ascii="Calibri" w:hAnsi="Calibri"/>
          <w:sz w:val="22"/>
        </w:rPr>
        <w:t>415 failure, and a plan that did not fail 415.</w:t>
      </w:r>
    </w:p>
    <w:p>
      <w:pPr>
        <w:pStyle w:val="ListBullet"/>
      </w:pPr>
      <w:r>
        <w:rPr>
          <w:rFonts w:ascii="Calibri" w:hAnsi="Calibri"/>
          <w:sz w:val="22"/>
        </w:rPr>
        <w:t>Top heavy above 60%, and a plan at 60% or below.</w:t>
      </w:r>
    </w:p>
    <w:p>
      <w:pPr>
        <w:pStyle w:val="ListBullet"/>
      </w:pPr>
      <w:r>
        <w:rPr>
          <w:rFonts w:ascii="Calibri" w:hAnsi="Calibri"/>
          <w:sz w:val="22"/>
        </w:rPr>
        <w:t>Variance, and a package with no variance.</w:t>
      </w:r>
    </w:p>
    <w:p>
      <w:pPr>
        <w:pStyle w:val="ListBullet"/>
      </w:pPr>
      <w:r>
        <w:rPr>
          <w:rFonts w:ascii="Calibri" w:hAnsi="Calibri"/>
          <w:sz w:val="22"/>
        </w:rPr>
        <w:t>No immediate action.</w:t>
      </w:r>
    </w:p>
    <w:p>
      <w:pPr>
        <w:pStyle w:val="ListBullet"/>
      </w:pPr>
      <w:r>
        <w:rPr>
          <w:rFonts w:ascii="Calibri" w:hAnsi="Calibri"/>
          <w:sz w:val="22"/>
        </w:rPr>
        <w:t>An off-calendar plan year.</w:t>
      </w:r>
    </w:p>
    <w:p>
      <w:pPr>
        <w:pStyle w:val="ListBullet"/>
      </w:pPr>
      <w:r>
        <w:rPr>
          <w:rFonts w:ascii="Calibri" w:hAnsi="Calibri"/>
          <w:sz w:val="22"/>
        </w:rPr>
        <w:t>A 403(b) plan, for the HCE and ACP Test bookmark titles and for keeping the BRF report.</w:t>
      </w:r>
    </w:p>
    <w:p>
      <w:pPr>
        <w:pStyle w:val="Heading1"/>
      </w:pPr>
      <w:r>
        <w:t>10. Proposed Technology Stack</w:t>
      </w:r>
    </w:p>
    <w:tbl>
      <w:tblPr>
        <w:tblStyle w:val="TableGrid"/>
        <w:tblW w:type="auto" w:w="0"/>
        <w:tblLayout w:type="autofit"/>
        <w:tblLook w:firstColumn="1" w:firstRow="1" w:lastColumn="0" w:lastRow="0" w:noHBand="0" w:noVBand="1" w:val="04A0"/>
      </w:tblPr>
      <w:tblGrid>
        <w:gridCol w:w="5046"/>
        <w:gridCol w:w="5046"/>
      </w:tblGrid>
      <w:tr>
        <w:tc>
          <w:tcPr>
            <w:tcW w:type="dxa" w:w="5046"/>
            <w:shd w:fill="0F6E6B" w:val="clear"/>
          </w:tcPr>
          <w:p>
            <w:r/>
            <w:r>
              <w:rPr>
                <w:rFonts w:ascii="Calibri" w:hAnsi="Calibri"/>
                <w:b/>
                <w:color w:val="FFFFFF"/>
                <w:sz w:val="18"/>
              </w:rPr>
              <w:t>Layer</w:t>
            </w:r>
          </w:p>
        </w:tc>
        <w:tc>
          <w:tcPr>
            <w:tcW w:type="dxa" w:w="5046"/>
            <w:shd w:fill="0F6E6B" w:val="clear"/>
          </w:tcPr>
          <w:p>
            <w:r/>
            <w:r>
              <w:rPr>
                <w:rFonts w:ascii="Calibri" w:hAnsi="Calibri"/>
                <w:b/>
                <w:color w:val="FFFFFF"/>
                <w:sz w:val="18"/>
              </w:rPr>
              <w:t>Technology</w:t>
            </w:r>
          </w:p>
        </w:tc>
      </w:tr>
      <w:tr>
        <w:tc>
          <w:tcPr>
            <w:tcW w:type="dxa" w:w="5046"/>
          </w:tcPr>
          <w:p>
            <w:r/>
            <w:r>
              <w:rPr>
                <w:rFonts w:ascii="Calibri" w:hAnsi="Calibri"/>
                <w:b w:val="0"/>
                <w:color w:val="1F2937"/>
                <w:sz w:val="18"/>
              </w:rPr>
              <w:t>Front End</w:t>
            </w:r>
          </w:p>
        </w:tc>
        <w:tc>
          <w:tcPr>
            <w:tcW w:type="dxa" w:w="5046"/>
          </w:tcPr>
          <w:p>
            <w:r/>
            <w:r>
              <w:rPr>
                <w:rFonts w:ascii="Calibri" w:hAnsi="Calibri"/>
                <w:b w:val="0"/>
                <w:color w:val="1F2937"/>
                <w:sz w:val="18"/>
              </w:rPr>
              <w:t>HTML</w:t>
            </w:r>
          </w:p>
        </w:tc>
      </w:tr>
      <w:tr>
        <w:tc>
          <w:tcPr>
            <w:tcW w:type="dxa" w:w="5046"/>
            <w:shd w:fill="F4F7F8" w:val="clear"/>
          </w:tcPr>
          <w:p>
            <w:r/>
            <w:r>
              <w:rPr>
                <w:rFonts w:ascii="Calibri" w:hAnsi="Calibri"/>
                <w:b w:val="0"/>
                <w:color w:val="1F2937"/>
                <w:sz w:val="18"/>
              </w:rPr>
              <w:t>API Layer</w:t>
            </w:r>
          </w:p>
        </w:tc>
        <w:tc>
          <w:tcPr>
            <w:tcW w:type="dxa" w:w="5046"/>
            <w:shd w:fill="F4F7F8" w:val="clear"/>
          </w:tcPr>
          <w:p>
            <w:r/>
            <w:r>
              <w:rPr>
                <w:rFonts w:ascii="Calibri" w:hAnsi="Calibri"/>
                <w:b w:val="0"/>
                <w:color w:val="1F2937"/>
                <w:sz w:val="18"/>
              </w:rPr>
              <w:t>FastAPI</w:t>
            </w:r>
          </w:p>
        </w:tc>
      </w:tr>
      <w:tr>
        <w:tc>
          <w:tcPr>
            <w:tcW w:type="dxa" w:w="5046"/>
          </w:tcPr>
          <w:p>
            <w:r/>
            <w:r>
              <w:rPr>
                <w:rFonts w:ascii="Calibri" w:hAnsi="Calibri"/>
                <w:b w:val="0"/>
                <w:color w:val="1F2937"/>
                <w:sz w:val="18"/>
              </w:rPr>
              <w:t>Backend Language</w:t>
            </w:r>
          </w:p>
        </w:tc>
        <w:tc>
          <w:tcPr>
            <w:tcW w:type="dxa" w:w="5046"/>
          </w:tcPr>
          <w:p>
            <w:r/>
            <w:r>
              <w:rPr>
                <w:rFonts w:ascii="Calibri" w:hAnsi="Calibri"/>
                <w:b w:val="0"/>
                <w:color w:val="1F2937"/>
                <w:sz w:val="18"/>
              </w:rPr>
              <w:t>Python</w:t>
            </w:r>
          </w:p>
        </w:tc>
      </w:tr>
      <w:tr>
        <w:tc>
          <w:tcPr>
            <w:tcW w:type="dxa" w:w="5046"/>
            <w:shd w:fill="F4F7F8" w:val="clear"/>
          </w:tcPr>
          <w:p>
            <w:r/>
            <w:r>
              <w:rPr>
                <w:rFonts w:ascii="Calibri" w:hAnsi="Calibri"/>
                <w:b w:val="0"/>
                <w:color w:val="1F2937"/>
                <w:sz w:val="18"/>
              </w:rPr>
              <w:t>PDF Processing</w:t>
            </w:r>
          </w:p>
        </w:tc>
        <w:tc>
          <w:tcPr>
            <w:tcW w:type="dxa" w:w="5046"/>
            <w:shd w:fill="F4F7F8" w:val="clear"/>
          </w:tcPr>
          <w:p>
            <w:r/>
            <w:r>
              <w:rPr>
                <w:rFonts w:ascii="Calibri" w:hAnsi="Calibri"/>
                <w:b w:val="0"/>
                <w:color w:val="1F2937"/>
                <w:sz w:val="18"/>
              </w:rPr>
              <w:t>PyMuPDF</w:t>
            </w:r>
          </w:p>
        </w:tc>
      </w:tr>
      <w:tr>
        <w:tc>
          <w:tcPr>
            <w:tcW w:type="dxa" w:w="5046"/>
          </w:tcPr>
          <w:p>
            <w:r/>
            <w:r>
              <w:rPr>
                <w:rFonts w:ascii="Calibri" w:hAnsi="Calibri"/>
                <w:b w:val="0"/>
                <w:color w:val="1F2937"/>
                <w:sz w:val="18"/>
              </w:rPr>
              <w:t>Business Rules</w:t>
            </w:r>
          </w:p>
        </w:tc>
        <w:tc>
          <w:tcPr>
            <w:tcW w:type="dxa" w:w="5046"/>
          </w:tcPr>
          <w:p>
            <w:r/>
            <w:r>
              <w:rPr>
                <w:rFonts w:ascii="Calibri" w:hAnsi="Calibri"/>
                <w:b w:val="0"/>
                <w:color w:val="1F2937"/>
                <w:sz w:val="18"/>
              </w:rPr>
              <w:t>Configuration files read by the application</w:t>
            </w:r>
          </w:p>
        </w:tc>
      </w:tr>
      <w:tr>
        <w:tc>
          <w:tcPr>
            <w:tcW w:type="dxa" w:w="5046"/>
            <w:shd w:fill="F4F7F8" w:val="clear"/>
          </w:tcPr>
          <w:p>
            <w:r/>
            <w:r>
              <w:rPr>
                <w:rFonts w:ascii="Calibri" w:hAnsi="Calibri"/>
                <w:b w:val="0"/>
                <w:color w:val="1F2937"/>
                <w:sz w:val="18"/>
              </w:rPr>
              <w:t>Data Store</w:t>
            </w:r>
          </w:p>
        </w:tc>
        <w:tc>
          <w:tcPr>
            <w:tcW w:type="dxa" w:w="5046"/>
            <w:shd w:fill="F4F7F8" w:val="clear"/>
          </w:tcPr>
          <w:p>
            <w:r/>
            <w:r>
              <w:rPr>
                <w:rFonts w:ascii="Calibri" w:hAnsi="Calibri"/>
                <w:b w:val="0"/>
                <w:color w:val="1F2937"/>
                <w:sz w:val="18"/>
              </w:rPr>
              <w:t>Excel and files on this computer</w:t>
            </w:r>
          </w:p>
        </w:tc>
      </w:tr>
      <w:tr>
        <w:tc>
          <w:tcPr>
            <w:tcW w:type="dxa" w:w="5046"/>
          </w:tcPr>
          <w:p>
            <w:r/>
            <w:r>
              <w:rPr>
                <w:rFonts w:ascii="Calibri" w:hAnsi="Calibri"/>
                <w:b w:val="0"/>
                <w:color w:val="1F2937"/>
                <w:sz w:val="18"/>
              </w:rPr>
              <w:t>Email</w:t>
            </w:r>
          </w:p>
        </w:tc>
        <w:tc>
          <w:tcPr>
            <w:tcW w:type="dxa" w:w="5046"/>
          </w:tcPr>
          <w:p>
            <w:r/>
            <w:r>
              <w:rPr>
                <w:rFonts w:ascii="Calibri" w:hAnsi="Calibri"/>
                <w:b w:val="0"/>
                <w:color w:val="1F2937"/>
                <w:sz w:val="18"/>
              </w:rPr>
              <w:t>An Outlook draft file, not a mailbox connection</w:t>
            </w:r>
          </w:p>
        </w:tc>
      </w:tr>
      <w:tr>
        <w:tc>
          <w:tcPr>
            <w:tcW w:type="dxa" w:w="5046"/>
            <w:shd w:fill="F4F7F8" w:val="clear"/>
          </w:tcPr>
          <w:p>
            <w:r/>
            <w:r>
              <w:rPr>
                <w:rFonts w:ascii="Calibri" w:hAnsi="Calibri"/>
                <w:b w:val="0"/>
                <w:color w:val="1F2937"/>
                <w:sz w:val="18"/>
              </w:rPr>
              <w:t>Deployment</w:t>
            </w:r>
          </w:p>
        </w:tc>
        <w:tc>
          <w:tcPr>
            <w:tcW w:type="dxa" w:w="5046"/>
            <w:shd w:fill="F4F7F8" w:val="clear"/>
          </w:tcPr>
          <w:p>
            <w:r/>
            <w:r>
              <w:rPr>
                <w:rFonts w:ascii="Calibri" w:hAnsi="Calibri"/>
                <w:b w:val="0"/>
                <w:color w:val="1F2937"/>
                <w:sz w:val="18"/>
              </w:rPr>
              <w:t>The reviewer’s computer. No separate server.</w:t>
            </w:r>
          </w:p>
        </w:tc>
      </w:tr>
    </w:tbl>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F476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F476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