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Macam-macam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Ahliyyah</w:t>
      </w:r>
      <w:proofErr w:type="spellEnd"/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Ulama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ushul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fiqih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membagi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ahliyyah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: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Ahliyyah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wujub</w:t>
      </w:r>
      <w:proofErr w:type="spellEnd"/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kecakapan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hak-hak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haknya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cakap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dibebani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ahliyyah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wujub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cakap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dibebani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kewajiban-kewajiban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shalat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puasa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haji.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Sekalipun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mengerjakan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amalan-amalan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statusnya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bukanlah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sekedar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bayi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ditinggal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mati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ayahnya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harta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warisan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ayahnya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Akan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harta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taraf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ahliyyah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wujub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boleh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harta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wali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dianggap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cakap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r w:rsidRPr="00BC24BE">
        <w:rPr>
          <w:rFonts w:asciiTheme="majorBidi" w:hAnsiTheme="majorBidi" w:cstheme="majorBidi"/>
          <w:sz w:val="24"/>
          <w:szCs w:val="24"/>
        </w:rPr>
        <w:t xml:space="preserve">Para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ulama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ushul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fiqih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membagi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tingkatan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ahliyyah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wujub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tingkatan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: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r w:rsidRPr="00BC24BE">
        <w:rPr>
          <w:rFonts w:asciiTheme="majorBidi" w:hAnsiTheme="majorBidi" w:cstheme="majorBidi"/>
          <w:sz w:val="24"/>
          <w:szCs w:val="24"/>
        </w:rPr>
        <w:t xml:space="preserve">1)     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Ahliyyah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Wujub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Naqishah</w:t>
      </w:r>
      <w:proofErr w:type="spellEnd"/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kecakapan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kecakapan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dikenai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teta</w:t>
      </w:r>
      <w:r>
        <w:rPr>
          <w:rFonts w:asciiTheme="majorBidi" w:hAnsiTheme="majorBidi" w:cstheme="majorBidi"/>
          <w:sz w:val="24"/>
          <w:szCs w:val="24"/>
        </w:rPr>
        <w:t>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kecakapan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bayi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kandungan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ibunya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Bayi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janin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kebendaan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warisan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wasiat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Realisasi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ternyata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bayi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keadaan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kecakapan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dikenai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cakap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mati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meninggalkan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hutang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kematiannya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apa-apa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hanyalah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mati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dikenai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membayar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hutangnya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orang lain,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artian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ahli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warisnya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membayar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hutang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r w:rsidRPr="00BC24BE">
        <w:rPr>
          <w:rFonts w:asciiTheme="majorBidi" w:hAnsiTheme="majorBidi" w:cstheme="majorBidi"/>
          <w:sz w:val="24"/>
          <w:szCs w:val="24"/>
        </w:rPr>
        <w:t xml:space="preserve">2)     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Ahliyyah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Wujub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Kamilah</w:t>
      </w:r>
      <w:proofErr w:type="spellEnd"/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kecakapan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dikenai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sempurna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kepantasan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keduanya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sekaligus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Kecakapan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semenjak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balig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berakal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sek</w:t>
      </w:r>
      <w:r>
        <w:rPr>
          <w:rFonts w:asciiTheme="majorBidi" w:hAnsiTheme="majorBidi" w:cstheme="majorBidi"/>
          <w:sz w:val="24"/>
          <w:szCs w:val="24"/>
        </w:rPr>
        <w:t>arat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bernafas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disamping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warisan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orangtua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kerabatnya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dikenai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membayar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zakat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fitrah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zakat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harta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pendapat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ulama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pelaksanaannya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orangtua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walinya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Ahliyyah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al</w:t>
      </w:r>
      <w:proofErr w:type="gramStart"/>
      <w:r w:rsidRPr="00BC24BE">
        <w:rPr>
          <w:rFonts w:asciiTheme="majorBidi" w:hAnsiTheme="majorBidi" w:cstheme="majorBidi"/>
          <w:sz w:val="24"/>
          <w:szCs w:val="24"/>
        </w:rPr>
        <w:t>-‘</w:t>
      </w:r>
      <w:proofErr w:type="gramEnd"/>
      <w:r w:rsidRPr="00BC24BE">
        <w:rPr>
          <w:rFonts w:asciiTheme="majorBidi" w:hAnsiTheme="majorBidi" w:cstheme="majorBidi"/>
          <w:sz w:val="24"/>
          <w:szCs w:val="24"/>
        </w:rPr>
        <w:t>Ada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kecakapan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bertindak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dianggap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sempurna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mempertanggungjawabkan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perbuatannya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negatif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mengerjakan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perbuatan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dituntut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syara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’,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dianggap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lastRenderedPageBreak/>
        <w:t>memenuhi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diberi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pahala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melanggar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tuntutan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syara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’,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C24BE">
        <w:rPr>
          <w:rFonts w:asciiTheme="majorBidi" w:hAnsiTheme="majorBidi" w:cstheme="majorBidi"/>
          <w:sz w:val="24"/>
          <w:szCs w:val="24"/>
        </w:rPr>
        <w:t>berdosa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.[</w:t>
      </w:r>
      <w:proofErr w:type="gramEnd"/>
      <w:r w:rsidRPr="00BC24BE">
        <w:rPr>
          <w:rFonts w:asciiTheme="majorBidi" w:hAnsiTheme="majorBidi" w:cstheme="majorBidi"/>
          <w:sz w:val="24"/>
          <w:szCs w:val="24"/>
        </w:rPr>
        <w:t>6]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Kecakapan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berbuat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tingkatan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dikaitkan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batas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umur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: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r w:rsidRPr="00BC24BE">
        <w:rPr>
          <w:rFonts w:asciiTheme="majorBidi" w:hAnsiTheme="majorBidi" w:cstheme="majorBidi"/>
          <w:sz w:val="24"/>
          <w:szCs w:val="24"/>
        </w:rPr>
        <w:t xml:space="preserve">1)   </w:t>
      </w:r>
      <w:proofErr w:type="gramStart"/>
      <w:r w:rsidRPr="00BC24BE">
        <w:rPr>
          <w:rFonts w:asciiTheme="majorBidi" w:hAnsiTheme="majorBidi" w:cstheme="majorBidi"/>
          <w:sz w:val="24"/>
          <w:szCs w:val="24"/>
        </w:rPr>
        <w:t xml:space="preserve">   ‘</w:t>
      </w:r>
      <w:proofErr w:type="spellStart"/>
      <w:proofErr w:type="gramEnd"/>
      <w:r w:rsidRPr="00BC24BE">
        <w:rPr>
          <w:rFonts w:asciiTheme="majorBidi" w:hAnsiTheme="majorBidi" w:cstheme="majorBidi"/>
          <w:sz w:val="24"/>
          <w:szCs w:val="24"/>
        </w:rPr>
        <w:t>Adim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Ahliyyah</w:t>
      </w:r>
      <w:proofErr w:type="spellEnd"/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cakap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sekali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semenjak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umur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tamyiz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umur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7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batas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umur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sempurna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akalnya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taklif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dikaitkan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berakal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batas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umur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mukallaf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dituntut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Perbuatan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ucapannya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akibat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transaksi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dilakukannya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akibat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r w:rsidRPr="00BC24BE">
        <w:rPr>
          <w:rFonts w:asciiTheme="majorBidi" w:hAnsiTheme="majorBidi" w:cstheme="majorBidi"/>
          <w:sz w:val="24"/>
          <w:szCs w:val="24"/>
        </w:rPr>
        <w:t xml:space="preserve">2)     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Ahliyyah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al</w:t>
      </w:r>
      <w:proofErr w:type="gramStart"/>
      <w:r w:rsidRPr="00BC24BE">
        <w:rPr>
          <w:rFonts w:asciiTheme="majorBidi" w:hAnsiTheme="majorBidi" w:cstheme="majorBidi"/>
          <w:sz w:val="24"/>
          <w:szCs w:val="24"/>
        </w:rPr>
        <w:t>-‘</w:t>
      </w:r>
      <w:proofErr w:type="gramEnd"/>
      <w:r w:rsidRPr="00BC24BE">
        <w:rPr>
          <w:rFonts w:asciiTheme="majorBidi" w:hAnsiTheme="majorBidi" w:cstheme="majorBidi"/>
          <w:sz w:val="24"/>
          <w:szCs w:val="24"/>
        </w:rPr>
        <w:t>Ada al-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Naqishah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cakap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berbuat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lemah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)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umur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tamyiz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batas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dewasa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Maksud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lemah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  <w:proofErr w:type="spellStart"/>
      <w:r w:rsidRPr="00BC24BE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akalnya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lemah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sempurna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taklif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akal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sempurna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batas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umur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hubungannya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tindakannya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dikenai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dikenai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ucapan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perbuatannya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terbagi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tingkatan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akibat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tersendiri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: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semata-mata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menguntungkan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kepadanya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pemberian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hibah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wasiat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perbuatan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ucapan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perbuatan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terlaksana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persetujuan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wali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semata-mata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merugikannya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hak-hak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padanya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pemberian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dilakukannya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hibah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sadaqah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pembebasan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hutang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beli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pantas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perbuatannya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ucapan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perbuatan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dilakukannya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berakibat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batal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disetujui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walinya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</w:t>
      </w:r>
    </w:p>
    <w:p w:rsidR="00BC24BE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mengandung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kerugian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beli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sewa-menyewa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upah-mengupah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disatu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haknya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dipihak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menambah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padanya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dilakukannya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batal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mutlak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kesahannya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tergantung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persetujuan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walinya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sesudah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</w:t>
      </w:r>
    </w:p>
    <w:p w:rsidR="00726755" w:rsidRPr="00BC24BE" w:rsidRDefault="00BC24BE" w:rsidP="00BC24B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24BE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mumayyiz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hubungannya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ibadah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cakap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dalm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ibadah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dituntut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4BE">
        <w:rPr>
          <w:rFonts w:asciiTheme="majorBidi" w:hAnsiTheme="majorBidi" w:cstheme="majorBidi"/>
          <w:sz w:val="24"/>
          <w:szCs w:val="24"/>
        </w:rPr>
        <w:t>dewasa</w:t>
      </w:r>
      <w:proofErr w:type="spellEnd"/>
      <w:r w:rsidRPr="00BC24BE">
        <w:rPr>
          <w:rFonts w:asciiTheme="majorBidi" w:hAnsiTheme="majorBidi" w:cstheme="majorBidi"/>
          <w:sz w:val="24"/>
          <w:szCs w:val="24"/>
        </w:rPr>
        <w:t>.</w:t>
      </w:r>
    </w:p>
    <w:sectPr w:rsidR="00726755" w:rsidRPr="00BC2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BE"/>
    <w:rsid w:val="00726755"/>
    <w:rsid w:val="00757066"/>
    <w:rsid w:val="00BC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846D"/>
  <w15:chartTrackingRefBased/>
  <w15:docId w15:val="{08751DE5-AF7D-45AB-BD3E-0BA8B99C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ASUSU</dc:creator>
  <cp:keywords/>
  <dc:description/>
  <cp:lastModifiedBy>ASUSU</cp:lastModifiedBy>
  <cp:revision>2</cp:revision>
  <dcterms:created xsi:type="dcterms:W3CDTF">2019-03-14T03:53:00Z</dcterms:created>
  <dcterms:modified xsi:type="dcterms:W3CDTF">2019-03-14T05:10:00Z</dcterms:modified>
</cp:coreProperties>
</file>