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Times New Roman" w:cs="Times New Roman" w:eastAsia="Times New Roman" w:hAnsi="Times New Roman"/>
          <w:sz w:val="20"/>
          <w:szCs w:val="20"/>
        </w:rPr>
        <w:t xml:space="preserve">Computer Security — Week 3: Social Engineering and Phishing</w:t>
      </w:r>
    </w:p>
    <w:p>
      <w:pPr>
        <w:spacing w:after="40" w:line="276"/>
        <w:jc w:val="center"/>
      </w:pPr>
      <w:r>
        <w:rPr>
          <w:rFonts w:ascii="Times New Roman" w:cs="Times New Roman" w:eastAsia="Times New Roman" w:hAnsi="Times New Roman"/>
          <w:b/>
          <w:bCs/>
          <w:sz w:val="28"/>
          <w:szCs w:val="28"/>
        </w:rPr>
        <w:t xml:space="preserve">Assignment: One Personal Protection Plan</w:t>
      </w:r>
    </w:p>
    <w:p>
      <w:pPr>
        <w:spacing w:after="200" w:line="276"/>
        <w:jc w:val="center"/>
      </w:pPr>
      <w:r>
        <w:rPr>
          <w:rFonts w:ascii="Times New Roman" w:cs="Times New Roman" w:eastAsia="Times New Roman" w:hAnsi="Times New Roman"/>
          <w:sz w:val="20"/>
          <w:szCs w:val="20"/>
        </w:rPr>
        <w:t xml:space="preserve">Kyungsung University  |  Student name: ____________________  |  Date: ____________</w:t>
      </w:r>
    </w:p>
    <w:p>
      <w:pPr>
        <w:spacing w:after="200" w:line="276"/>
        <w:jc w:val="center"/>
      </w:pPr>
      <w:r>
        <w:rPr>
          <w:rFonts w:ascii="Times New Roman" w:cs="Times New Roman" w:eastAsia="Times New Roman" w:hAnsi="Times New Roman"/>
          <w:b/>
          <w:bCs/>
          <w:sz w:val="22"/>
          <w:szCs w:val="22"/>
        </w:rPr>
        <w:t xml:space="preserve">Protecting a Scholarship Payment from a Vishing and Impersonation Attempt</w:t>
      </w:r>
    </w:p>
    <w:p>
      <w:pPr>
        <w:pStyle w:val="Heading2"/>
        <w:spacing w:after="100" w:before="240"/>
      </w:pPr>
      <w:r>
        <w:rPr>
          <w:rFonts w:ascii="Times New Roman" w:cs="Times New Roman" w:eastAsia="Times New Roman" w:hAnsi="Times New Roman"/>
          <w:b/>
          <w:bCs/>
          <w:color w:val="000000"/>
          <w:sz w:val="24"/>
          <w:szCs w:val="24"/>
        </w:rPr>
        <w:t xml:space="preserve">1. The asset and the threat</w:t>
      </w:r>
    </w:p>
    <w:p>
      <w:pPr>
        <w:spacing w:after="120" w:line="276"/>
      </w:pPr>
      <w:r>
        <w:rPr>
          <w:rFonts w:ascii="Times New Roman" w:cs="Times New Roman" w:eastAsia="Times New Roman" w:hAnsi="Times New Roman"/>
          <w:b w:val="false"/>
          <w:bCs w:val="false"/>
          <w:i w:val="false"/>
          <w:iCs w:val="false"/>
          <w:sz w:val="22"/>
          <w:szCs w:val="22"/>
        </w:rPr>
        <w:t xml:space="preserve">The account I want to protect belongs to Jiwoo Han, a fictional second-year student at Kyungsung University. Each semester the national scholarship is paid into their bank account, and the account number on file is managed through the university student portal. Three assets sit together here: </w:t>
      </w:r>
      <w:r>
        <w:rPr>
          <w:rFonts w:ascii="Times New Roman" w:cs="Times New Roman" w:eastAsia="Times New Roman" w:hAnsi="Times New Roman"/>
          <w:b/>
          <w:bCs/>
          <w:i w:val="false"/>
          <w:iCs w:val="false"/>
          <w:sz w:val="22"/>
          <w:szCs w:val="22"/>
        </w:rPr>
        <w:t xml:space="preserve">money</w:t>
      </w:r>
      <w:r>
        <w:rPr>
          <w:rFonts w:ascii="Times New Roman" w:cs="Times New Roman" w:eastAsia="Times New Roman" w:hAnsi="Times New Roman"/>
          <w:b w:val="false"/>
          <w:bCs w:val="false"/>
          <w:i w:val="false"/>
          <w:iCs w:val="false"/>
          <w:sz w:val="22"/>
          <w:szCs w:val="22"/>
        </w:rPr>
        <w:t xml:space="preserve"> (about 3.5 million won of tuition support), </w:t>
      </w:r>
      <w:r>
        <w:rPr>
          <w:rFonts w:ascii="Times New Roman" w:cs="Times New Roman" w:eastAsia="Times New Roman" w:hAnsi="Times New Roman"/>
          <w:b/>
          <w:bCs/>
          <w:i w:val="false"/>
          <w:iCs w:val="false"/>
          <w:sz w:val="22"/>
          <w:szCs w:val="22"/>
        </w:rPr>
        <w:t xml:space="preserve">identity</w:t>
      </w:r>
      <w:r>
        <w:rPr>
          <w:rFonts w:ascii="Times New Roman" w:cs="Times New Roman" w:eastAsia="Times New Roman" w:hAnsi="Times New Roman"/>
          <w:b w:val="false"/>
          <w:bCs w:val="false"/>
          <w:i w:val="false"/>
          <w:iCs w:val="false"/>
          <w:sz w:val="22"/>
          <w:szCs w:val="22"/>
        </w:rPr>
        <w:t xml:space="preserve"> (the student account, which holds personal documents and grades), and a </w:t>
      </w:r>
      <w:r>
        <w:rPr>
          <w:rFonts w:ascii="Times New Roman" w:cs="Times New Roman" w:eastAsia="Times New Roman" w:hAnsi="Times New Roman"/>
          <w:b/>
          <w:bCs/>
          <w:i w:val="false"/>
          <w:iCs w:val="false"/>
          <w:sz w:val="22"/>
          <w:szCs w:val="22"/>
        </w:rPr>
        <w:t xml:space="preserve">relationship</w:t>
      </w:r>
      <w:r>
        <w:rPr>
          <w:rFonts w:ascii="Times New Roman" w:cs="Times New Roman" w:eastAsia="Times New Roman" w:hAnsi="Times New Roman"/>
          <w:b w:val="false"/>
          <w:bCs w:val="false"/>
          <w:i w:val="false"/>
          <w:iCs w:val="false"/>
          <w:sz w:val="22"/>
          <w:szCs w:val="22"/>
        </w:rPr>
        <w:t xml:space="preserve"> (the family group chat that Jiwoo's parents use to discuss money). A single deceptive conversation can reach all three.</w:t>
      </w:r>
    </w:p>
    <w:p>
      <w:pPr>
        <w:spacing w:after="120" w:line="276"/>
      </w:pPr>
      <w:r>
        <w:rPr>
          <w:rFonts w:ascii="Times New Roman" w:cs="Times New Roman" w:eastAsia="Times New Roman" w:hAnsi="Times New Roman"/>
          <w:b w:val="false"/>
          <w:bCs w:val="false"/>
          <w:i w:val="false"/>
          <w:iCs w:val="false"/>
          <w:sz w:val="22"/>
          <w:szCs w:val="22"/>
        </w:rPr>
        <w:t xml:space="preserve">The threat is </w:t>
      </w:r>
      <w:r>
        <w:rPr>
          <w:rFonts w:ascii="Times New Roman" w:cs="Times New Roman" w:eastAsia="Times New Roman" w:hAnsi="Times New Roman"/>
          <w:b/>
          <w:bCs/>
          <w:i w:val="false"/>
          <w:iCs w:val="false"/>
          <w:sz w:val="22"/>
          <w:szCs w:val="22"/>
        </w:rPr>
        <w:t xml:space="preserve">vishing combined with impersonation and spear phishing</w:t>
      </w:r>
      <w:r>
        <w:rPr>
          <w:rFonts w:ascii="Times New Roman" w:cs="Times New Roman" w:eastAsia="Times New Roman" w:hAnsi="Times New Roman"/>
          <w:b w:val="false"/>
          <w:bCs w:val="false"/>
          <w:i w:val="false"/>
          <w:iCs w:val="false"/>
          <w:sz w:val="22"/>
          <w:szCs w:val="22"/>
        </w:rPr>
        <w:t xml:space="preserve">: a caller who claims to be from the scholarship office, says the disbursement has failed, and asks Jiwoo to confirm account details and read back a verification code. This is not hypothetical. In July 2018 a Korean father received a call from someone posing as his daughter, claiming an accident and asking for 20 million won urgently; the attempt failed only because the real daughter was in the same house. In July 2025 the Changwon District Court warned that scammers were claiming returned court mail and pushing people to open links or install an app. The same script works on a student, because the threatened loss is tuition rather than a court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00"/>
      </w:tblGrid>
      <w:tr>
        <w:tc>
          <w:tcPr>
            <w:tcW w:type="dxa" w:w="1500"/>
            <w:shd w:fill="EFEFEF"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Element</w:t>
            </w:r>
          </w:p>
        </w:tc>
        <w:tc>
          <w:tcPr>
            <w:tcW w:type="dxa" w:w="2100"/>
            <w:shd w:fill="EFEFEF"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In this case</w:t>
            </w:r>
          </w:p>
        </w:tc>
        <w:tc>
          <w:tcPr>
            <w:tcW w:type="dxa" w:w="5400"/>
            <w:shd w:fill="EFEFEF"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Detail</w:t>
            </w:r>
          </w:p>
        </w:tc>
      </w:tr>
      <w:tr>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Asset</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Money and access</w:t>
            </w:r>
          </w:p>
        </w:tc>
        <w:tc>
          <w:tcPr>
            <w:tcW w:type="dxa" w:w="5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scholarship transfer of about 3.5 million won, the bank account that receives it, and the university account that controls the payment details.</w:t>
            </w:r>
          </w:p>
        </w:tc>
      </w:tr>
      <w:tr>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Weakness</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Acting before checking</w:t>
            </w:r>
          </w:p>
        </w:tc>
        <w:tc>
          <w:tcPr>
            <w:tcW w:type="dxa" w:w="5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Reading a verification code aloud, or entering credentials on a page reached from the caller's own message, while under a deadline.</w:t>
            </w:r>
          </w:p>
        </w:tc>
      </w:tr>
      <w:tr>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Control</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Independent verification</w:t>
            </w:r>
          </w:p>
        </w:tc>
        <w:tc>
          <w:tcPr>
            <w:tcW w:type="dxa" w:w="5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Confirming the exact request through the official scholarship office number and the portal opened by me, before any code, password or account change.</w:t>
            </w:r>
          </w:p>
        </w:tc>
      </w:tr>
    </w:tbl>
    <w:p>
      <w:pPr>
        <w:spacing w:after="60" w:line="276"/>
      </w:pPr>
      <w:r>
        <w:rPr>
          <w:rFonts w:ascii="Times New Roman" w:cs="Times New Roman" w:eastAsia="Times New Roman" w:hAnsi="Times New Roman"/>
          <w:sz w:val="22"/>
          <w:szCs w:val="22"/>
        </w:rPr>
        <w:t xml:space="preserve"/>
      </w:r>
    </w:p>
    <w:p>
      <w:pPr>
        <w:pStyle w:val="Heading2"/>
        <w:spacing w:after="100" w:before="240"/>
      </w:pPr>
      <w:r>
        <w:rPr>
          <w:rFonts w:ascii="Times New Roman" w:cs="Times New Roman" w:eastAsia="Times New Roman" w:hAnsi="Times New Roman"/>
          <w:b/>
          <w:bCs/>
          <w:color w:val="000000"/>
          <w:sz w:val="24"/>
          <w:szCs w:val="24"/>
        </w:rPr>
        <w:t xml:space="preserve">2. How the manipulation would work</w:t>
      </w:r>
    </w:p>
    <w:p>
      <w:pPr>
        <w:spacing w:after="120" w:line="276"/>
      </w:pPr>
      <w:r>
        <w:rPr>
          <w:rFonts w:ascii="Times New Roman" w:cs="Times New Roman" w:eastAsia="Times New Roman" w:hAnsi="Times New Roman"/>
          <w:b w:val="false"/>
          <w:bCs w:val="false"/>
          <w:i w:val="false"/>
          <w:iCs w:val="false"/>
          <w:sz w:val="22"/>
          <w:szCs w:val="22"/>
        </w:rPr>
        <w:t xml:space="preserve">The </w:t>
      </w:r>
      <w:r>
        <w:rPr>
          <w:rFonts w:ascii="Times New Roman" w:cs="Times New Roman" w:eastAsia="Times New Roman" w:hAnsi="Times New Roman"/>
          <w:b/>
          <w:bCs/>
          <w:i w:val="false"/>
          <w:iCs w:val="false"/>
          <w:sz w:val="22"/>
          <w:szCs w:val="22"/>
        </w:rPr>
        <w:t xml:space="preserve">pretext</w:t>
      </w:r>
      <w:r>
        <w:rPr>
          <w:rFonts w:ascii="Times New Roman" w:cs="Times New Roman" w:eastAsia="Times New Roman" w:hAnsi="Times New Roman"/>
          <w:b w:val="false"/>
          <w:bCs w:val="false"/>
          <w:i w:val="false"/>
          <w:iCs w:val="false"/>
          <w:sz w:val="22"/>
          <w:szCs w:val="22"/>
        </w:rPr>
        <w:t xml:space="preserve"> is a plausible administrative failure: “Your scholarship payment was returned because the account holder name does not match our record.” The </w:t>
      </w:r>
      <w:r>
        <w:rPr>
          <w:rFonts w:ascii="Times New Roman" w:cs="Times New Roman" w:eastAsia="Times New Roman" w:hAnsi="Times New Roman"/>
          <w:b/>
          <w:bCs/>
          <w:i w:val="false"/>
          <w:iCs w:val="false"/>
          <w:sz w:val="22"/>
          <w:szCs w:val="22"/>
        </w:rPr>
        <w:t xml:space="preserve">requested action</w:t>
      </w:r>
      <w:r>
        <w:rPr>
          <w:rFonts w:ascii="Times New Roman" w:cs="Times New Roman" w:eastAsia="Times New Roman" w:hAnsi="Times New Roman"/>
          <w:b w:val="false"/>
          <w:bCs w:val="false"/>
          <w:i w:val="false"/>
          <w:iCs w:val="false"/>
          <w:sz w:val="22"/>
          <w:szCs w:val="22"/>
        </w:rPr>
        <w:t xml:space="preserve"> is what actually causes harm: read the six-digit code from your phone to the caller, or open the link in the SMS that follows and sign in to “re-register” the account. The story is believable; the action is the attack.</w:t>
      </w:r>
    </w:p>
    <w:p>
      <w:pPr>
        <w:spacing w:after="120" w:line="276"/>
      </w:pPr>
      <w:r>
        <w:rPr>
          <w:rFonts w:ascii="Times New Roman" w:cs="Times New Roman" w:eastAsia="Times New Roman" w:hAnsi="Times New Roman"/>
          <w:sz w:val="22"/>
          <w:szCs w:val="22"/>
        </w:rPr>
        <w:t xml:space="preserve">The call would press on several human factors at once:</w:t>
      </w:r>
    </w:p>
    <w:p>
      <w:pPr>
        <w:pStyle w:val="ListParagraph"/>
        <w:numPr>
          <w:ilvl w:val="0"/>
          <w:numId w:val="2"/>
        </w:numPr>
        <w:spacing w:after="80" w:line="276"/>
      </w:pPr>
      <w:r>
        <w:rPr>
          <w:rFonts w:ascii="Times New Roman" w:cs="Times New Roman" w:eastAsia="Times New Roman" w:hAnsi="Times New Roman"/>
          <w:b/>
          <w:bCs/>
          <w:i w:val="false"/>
          <w:iCs w:val="false"/>
          <w:sz w:val="22"/>
          <w:szCs w:val="22"/>
        </w:rPr>
        <w:t xml:space="preserve">Authority — </w:t>
      </w:r>
      <w:r>
        <w:rPr>
          <w:rFonts w:ascii="Times New Roman" w:cs="Times New Roman" w:eastAsia="Times New Roman" w:hAnsi="Times New Roman"/>
          <w:b w:val="false"/>
          <w:bCs w:val="false"/>
          <w:i w:val="false"/>
          <w:iCs w:val="false"/>
          <w:sz w:val="22"/>
          <w:szCs w:val="22"/>
        </w:rPr>
        <w:t xml:space="preserve">the office name, a spoofed caller ID, and administrative vocabulary such as “disbursement batch” suggest a person with power over the payment.</w:t>
      </w:r>
    </w:p>
    <w:p>
      <w:pPr>
        <w:pStyle w:val="ListParagraph"/>
        <w:numPr>
          <w:ilvl w:val="0"/>
          <w:numId w:val="2"/>
        </w:numPr>
        <w:spacing w:after="80" w:line="276"/>
      </w:pPr>
      <w:r>
        <w:rPr>
          <w:rFonts w:ascii="Times New Roman" w:cs="Times New Roman" w:eastAsia="Times New Roman" w:hAnsi="Times New Roman"/>
          <w:b/>
          <w:bCs/>
          <w:i w:val="false"/>
          <w:iCs w:val="false"/>
          <w:sz w:val="22"/>
          <w:szCs w:val="22"/>
        </w:rPr>
        <w:t xml:space="preserve">Fear — </w:t>
      </w:r>
      <w:r>
        <w:rPr>
          <w:rFonts w:ascii="Times New Roman" w:cs="Times New Roman" w:eastAsia="Times New Roman" w:hAnsi="Times New Roman"/>
          <w:b w:val="false"/>
          <w:bCs w:val="false"/>
          <w:i w:val="false"/>
          <w:iCs w:val="false"/>
          <w:sz w:val="22"/>
          <w:szCs w:val="22"/>
        </w:rPr>
        <w:t xml:space="preserve">“If this is not corrected the scholarship returns to the ministry this semester.” The story threatens a real loss.</w:t>
      </w:r>
    </w:p>
    <w:p>
      <w:pPr>
        <w:pStyle w:val="ListParagraph"/>
        <w:numPr>
          <w:ilvl w:val="0"/>
          <w:numId w:val="2"/>
        </w:numPr>
        <w:spacing w:after="80" w:line="276"/>
      </w:pPr>
      <w:r>
        <w:rPr>
          <w:rFonts w:ascii="Times New Roman" w:cs="Times New Roman" w:eastAsia="Times New Roman" w:hAnsi="Times New Roman"/>
          <w:b/>
          <w:bCs/>
          <w:i w:val="false"/>
          <w:iCs w:val="false"/>
          <w:sz w:val="22"/>
          <w:szCs w:val="22"/>
        </w:rPr>
        <w:t xml:space="preserve">Urgency and secrecy — </w:t>
      </w:r>
      <w:r>
        <w:rPr>
          <w:rFonts w:ascii="Times New Roman" w:cs="Times New Roman" w:eastAsia="Times New Roman" w:hAnsi="Times New Roman"/>
          <w:b w:val="false"/>
          <w:bCs w:val="false"/>
          <w:i w:val="false"/>
          <w:iCs w:val="false"/>
          <w:sz w:val="22"/>
          <w:szCs w:val="22"/>
        </w:rPr>
        <w:t xml:space="preserve">“The batch closes in ten minutes, and please do not discuss an individual award with other students.” The deadline removes the pause and the secrecy removes the witness.</w:t>
      </w:r>
    </w:p>
    <w:p>
      <w:pPr>
        <w:pStyle w:val="ListParagraph"/>
        <w:numPr>
          <w:ilvl w:val="0"/>
          <w:numId w:val="2"/>
        </w:numPr>
        <w:spacing w:after="80" w:line="276"/>
      </w:pPr>
      <w:r>
        <w:rPr>
          <w:rFonts w:ascii="Times New Roman" w:cs="Times New Roman" w:eastAsia="Times New Roman" w:hAnsi="Times New Roman"/>
          <w:b/>
          <w:bCs/>
          <w:i w:val="false"/>
          <w:iCs w:val="false"/>
          <w:sz w:val="22"/>
          <w:szCs w:val="22"/>
        </w:rPr>
        <w:t xml:space="preserve">Familiarity and targeting — </w:t>
      </w:r>
      <w:r>
        <w:rPr>
          <w:rFonts w:ascii="Times New Roman" w:cs="Times New Roman" w:eastAsia="Times New Roman" w:hAnsi="Times New Roman"/>
          <w:b w:val="false"/>
          <w:bCs w:val="false"/>
          <w:i w:val="false"/>
          <w:iCs w:val="false"/>
          <w:sz w:val="22"/>
          <w:szCs w:val="22"/>
        </w:rPr>
        <w:t xml:space="preserve">the caller already knows Jiwoo's department and advisor's name, so the contact feels like a continuation of something real rather than a cold call.</w:t>
      </w:r>
    </w:p>
    <w:p>
      <w:pPr>
        <w:spacing w:after="120" w:line="276"/>
      </w:pPr>
      <w:r>
        <w:rPr>
          <w:rFonts w:ascii="Times New Roman" w:cs="Times New Roman" w:eastAsia="Times New Roman" w:hAnsi="Times New Roman"/>
          <w:b w:val="false"/>
          <w:bCs w:val="false"/>
          <w:i w:val="false"/>
          <w:iCs w:val="false"/>
          <w:sz w:val="22"/>
          <w:szCs w:val="22"/>
        </w:rPr>
        <w:t xml:space="preserve">What makes the attempt dangerous is that every visible detail can be copied. A correct name, a logo, fluent Korean, a familiar layout and even HTTPS prove nothing about who is on the line: HTTPS protects the connection to a deceptive site just as well as to a real one, and a hostname such as </w:t>
      </w:r>
      <w:r>
        <w:rPr>
          <w:rFonts w:ascii="Times New Roman" w:cs="Times New Roman" w:eastAsia="Times New Roman" w:hAnsi="Times New Roman"/>
          <w:b w:val="false"/>
          <w:bCs w:val="false"/>
          <w:i/>
          <w:iCs/>
          <w:sz w:val="22"/>
          <w:szCs w:val="22"/>
        </w:rPr>
        <w:t xml:space="preserve">campus.example.verify-now.test</w:t>
      </w:r>
      <w:r>
        <w:rPr>
          <w:rFonts w:ascii="Times New Roman" w:cs="Times New Roman" w:eastAsia="Times New Roman" w:hAnsi="Times New Roman"/>
          <w:b w:val="false"/>
          <w:bCs w:val="false"/>
          <w:i w:val="false"/>
          <w:iCs w:val="false"/>
          <w:sz w:val="22"/>
          <w:szCs w:val="22"/>
        </w:rPr>
        <w:t xml:space="preserve"> contains a familiar word while belonging to someone else. The 2022 Twilio case showed employees entering credentials on fake internal sign-in pages, and the 2022 Uber case showed a contractor who rejected repeated approval prompts and then accepted one. The lesson I take from both is that </w:t>
      </w:r>
      <w:r>
        <w:rPr>
          <w:rFonts w:ascii="Times New Roman" w:cs="Times New Roman" w:eastAsia="Times New Roman" w:hAnsi="Times New Roman"/>
          <w:b/>
          <w:bCs/>
          <w:i w:val="false"/>
          <w:iCs w:val="false"/>
          <w:sz w:val="22"/>
          <w:szCs w:val="22"/>
        </w:rPr>
        <w:t xml:space="preserve">recognition is not authorization</w:t>
      </w:r>
      <w:r>
        <w:rPr>
          <w:rFonts w:ascii="Times New Roman" w:cs="Times New Roman" w:eastAsia="Times New Roman" w:hAnsi="Times New Roman"/>
          <w:b w:val="false"/>
          <w:bCs w:val="false"/>
          <w:i w:val="false"/>
          <w:iCs w:val="false"/>
          <w:sz w:val="22"/>
          <w:szCs w:val="22"/>
        </w:rPr>
        <w:t xml:space="preserve">: a request that looks familiar still has to pass a check I control. A code or approval prompt is proof of a login someone is attempting right now, so if I did not start that login, the prompt is a warning sign rather than a task.</w:t>
      </w:r>
    </w:p>
    <w:p>
      <w:pPr>
        <w:pStyle w:val="Heading2"/>
        <w:spacing w:after="100" w:before="240"/>
      </w:pPr>
      <w:r>
        <w:rPr>
          <w:rFonts w:ascii="Times New Roman" w:cs="Times New Roman" w:eastAsia="Times New Roman" w:hAnsi="Times New Roman"/>
          <w:b/>
          <w:bCs/>
          <w:color w:val="000000"/>
          <w:sz w:val="24"/>
          <w:szCs w:val="24"/>
        </w:rPr>
        <w:t xml:space="preserve">3. My check route and report route</w:t>
      </w:r>
    </w:p>
    <w:p>
      <w:pPr>
        <w:spacing w:after="120" w:line="276"/>
      </w:pPr>
      <w:r>
        <w:rPr>
          <w:rFonts w:ascii="Times New Roman" w:cs="Times New Roman" w:eastAsia="Times New Roman" w:hAnsi="Times New Roman"/>
          <w:sz w:val="22"/>
          <w:szCs w:val="22"/>
        </w:rPr>
        <w:t xml:space="preserve">Check (pause, then verify independently):</w:t>
      </w:r>
    </w:p>
    <w:p>
      <w:pPr>
        <w:pStyle w:val="ListParagraph"/>
        <w:numPr>
          <w:ilvl w:val="0"/>
          <w:numId w:val="2"/>
        </w:numPr>
        <w:spacing w:after="80" w:line="276"/>
      </w:pPr>
      <w:r>
        <w:rPr>
          <w:rFonts w:ascii="Times New Roman" w:cs="Times New Roman" w:eastAsia="Times New Roman" w:hAnsi="Times New Roman"/>
          <w:b w:val="false"/>
          <w:bCs w:val="false"/>
          <w:i w:val="false"/>
          <w:iCs w:val="false"/>
          <w:sz w:val="22"/>
          <w:szCs w:val="22"/>
        </w:rPr>
        <w:t xml:space="preserve">Pause the action, not the conversation only: reveal no password, relay no code, install nothing, and open no link from the message. My script is simple and does not require me to argue: </w:t>
      </w:r>
      <w:r>
        <w:rPr>
          <w:rFonts w:ascii="Times New Roman" w:cs="Times New Roman" w:eastAsia="Times New Roman" w:hAnsi="Times New Roman"/>
          <w:b w:val="false"/>
          <w:bCs w:val="false"/>
          <w:i/>
          <w:iCs/>
          <w:sz w:val="22"/>
          <w:szCs w:val="22"/>
        </w:rPr>
        <w:t xml:space="preserve">“I will contact the office through its official number.”</w:t>
      </w:r>
      <w:r>
        <w:rPr>
          <w:rFonts w:ascii="Times New Roman" w:cs="Times New Roman" w:eastAsia="Times New Roman" w:hAnsi="Times New Roman"/>
          <w:b w:val="false"/>
          <w:bCs w:val="false"/>
          <w:i w:val="false"/>
          <w:iCs w:val="false"/>
          <w:sz w:val="22"/>
          <w:szCs w:val="22"/>
        </w:rPr>
        <w:t xml:space="preserve"> Then I end the call.</w:t>
      </w:r>
    </w:p>
    <w:p>
      <w:pPr>
        <w:pStyle w:val="ListParagraph"/>
        <w:numPr>
          <w:ilvl w:val="0"/>
          <w:numId w:val="2"/>
        </w:numPr>
        <w:spacing w:after="80" w:line="276"/>
      </w:pPr>
      <w:r>
        <w:rPr>
          <w:rFonts w:ascii="Times New Roman" w:cs="Times New Roman" w:eastAsia="Times New Roman" w:hAnsi="Times New Roman"/>
          <w:b w:val="false"/>
          <w:bCs w:val="false"/>
          <w:i w:val="false"/>
          <w:iCs w:val="false"/>
          <w:sz w:val="22"/>
          <w:szCs w:val="22"/>
        </w:rPr>
        <w:t xml:space="preserve">Verify through a route obtained separately from the suspicious contact: type the known portal address myself or open the app already on my phone, and call the scholarship office using the number on the university website or the back of my student ID — never a number the caller supplied. The question is specific: </w:t>
      </w:r>
      <w:r>
        <w:rPr>
          <w:rFonts w:ascii="Times New Roman" w:cs="Times New Roman" w:eastAsia="Times New Roman" w:hAnsi="Times New Roman"/>
          <w:b w:val="false"/>
          <w:bCs w:val="false"/>
          <w:i/>
          <w:iCs/>
          <w:sz w:val="22"/>
          <w:szCs w:val="22"/>
        </w:rPr>
        <w:t xml:space="preserve">“Did your office send this request, and is this action actually required?”</w:t>
      </w:r>
    </w:p>
    <w:p>
      <w:pPr>
        <w:pStyle w:val="ListParagraph"/>
        <w:numPr>
          <w:ilvl w:val="0"/>
          <w:numId w:val="2"/>
        </w:numPr>
        <w:spacing w:after="80" w:line="276"/>
      </w:pPr>
      <w:r>
        <w:rPr>
          <w:rFonts w:ascii="Times New Roman" w:cs="Times New Roman" w:eastAsia="Times New Roman" w:hAnsi="Times New Roman"/>
          <w:b w:val="false"/>
          <w:bCs w:val="false"/>
          <w:i w:val="false"/>
          <w:iCs w:val="false"/>
          <w:sz w:val="22"/>
          <w:szCs w:val="22"/>
        </w:rPr>
        <w:t xml:space="preserve">For the relationship asset, my family and I agree in advance on a spoken code word for any urgent money request, and on the rule that we always call back on the saved number. That is the check that works even from another city, which is exactly what the 2018 case needed.</w:t>
      </w:r>
    </w:p>
    <w:p>
      <w:pPr>
        <w:pStyle w:val="ListParagraph"/>
        <w:numPr>
          <w:ilvl w:val="0"/>
          <w:numId w:val="2"/>
        </w:numPr>
        <w:spacing w:after="80" w:line="276"/>
      </w:pPr>
      <w:r>
        <w:rPr>
          <w:rFonts w:ascii="Times New Roman" w:cs="Times New Roman" w:eastAsia="Times New Roman" w:hAnsi="Times New Roman"/>
          <w:b w:val="false"/>
          <w:bCs w:val="false"/>
          <w:i w:val="false"/>
          <w:iCs w:val="false"/>
          <w:sz w:val="22"/>
          <w:szCs w:val="22"/>
        </w:rPr>
        <w:t xml:space="preserve">Reduce the damage in advance, before any call arrives: app-based multi-factor authentication instead of SMS where possible, a low daily transfer limit and the bank's delayed-transfer setting, official numbers saved in my contacts, and a standing personal rule that codes are never shared with anyone, including staff.</w:t>
      </w:r>
    </w:p>
    <w:p>
      <w:pPr>
        <w:spacing w:after="80" w:line="276"/>
      </w:pPr>
      <w:r>
        <w:rPr>
          <w:rFonts w:ascii="Times New Roman" w:cs="Times New Roman" w:eastAsia="Times New Roman" w:hAnsi="Times New Roman"/>
          <w:sz w:val="22"/>
          <w:szCs w:val="22"/>
        </w:rPr>
        <w:t xml:space="preserve">Report (use the official channel and say what I already did):</w:t>
      </w:r>
    </w:p>
    <w:p>
      <w:pPr>
        <w:pStyle w:val="ListParagraph"/>
        <w:numPr>
          <w:ilvl w:val="0"/>
          <w:numId w:val="2"/>
        </w:numPr>
        <w:spacing w:after="80" w:line="276"/>
      </w:pPr>
      <w:r>
        <w:rPr>
          <w:rFonts w:ascii="Times New Roman" w:cs="Times New Roman" w:eastAsia="Times New Roman" w:hAnsi="Times New Roman"/>
          <w:b w:val="false"/>
          <w:bCs w:val="false"/>
          <w:i w:val="false"/>
          <w:iCs w:val="false"/>
          <w:sz w:val="22"/>
          <w:szCs w:val="22"/>
        </w:rPr>
        <w:t xml:space="preserve">University IT or the responsible office, for any message or call impersonating the university, so my account can be reviewed and other students warned.</w:t>
      </w:r>
    </w:p>
    <w:p>
      <w:pPr>
        <w:pStyle w:val="ListParagraph"/>
        <w:numPr>
          <w:ilvl w:val="0"/>
          <w:numId w:val="2"/>
        </w:numPr>
        <w:spacing w:after="80" w:line="276"/>
      </w:pPr>
      <w:r>
        <w:rPr>
          <w:rFonts w:ascii="Times New Roman" w:cs="Times New Roman" w:eastAsia="Times New Roman" w:hAnsi="Times New Roman"/>
          <w:b/>
          <w:bCs/>
          <w:i w:val="false"/>
          <w:iCs w:val="false"/>
          <w:sz w:val="22"/>
          <w:szCs w:val="22"/>
        </w:rPr>
        <w:t xml:space="preserve">118 (KISA)</w:t>
      </w:r>
      <w:r>
        <w:rPr>
          <w:rFonts w:ascii="Times New Roman" w:cs="Times New Roman" w:eastAsia="Times New Roman" w:hAnsi="Times New Roman"/>
          <w:b w:val="false"/>
          <w:bCs w:val="false"/>
          <w:i w:val="false"/>
          <w:iCs w:val="false"/>
          <w:sz w:val="22"/>
          <w:szCs w:val="22"/>
        </w:rPr>
        <w:t xml:space="preserve"> for a suspicious SMS or a possibly malicious app, for technical advice about the message or the device.</w:t>
      </w:r>
    </w:p>
    <w:p>
      <w:pPr>
        <w:pStyle w:val="ListParagraph"/>
        <w:numPr>
          <w:ilvl w:val="0"/>
          <w:numId w:val="2"/>
        </w:numPr>
        <w:spacing w:after="80" w:line="276"/>
      </w:pPr>
      <w:r>
        <w:rPr>
          <w:rFonts w:ascii="Times New Roman" w:cs="Times New Roman" w:eastAsia="Times New Roman" w:hAnsi="Times New Roman"/>
          <w:b w:val="false"/>
          <w:bCs w:val="false"/>
          <w:i w:val="false"/>
          <w:iCs w:val="false"/>
          <w:sz w:val="22"/>
          <w:szCs w:val="22"/>
        </w:rPr>
        <w:t xml:space="preserve">112 and my bank's official contact number, immediately, if money has already been sent or credentials were entered — to report the fraud and request suspension of the payment. Speed matters more than certainty here.</w:t>
      </w:r>
    </w:p>
    <w:p>
      <w:pPr>
        <w:pStyle w:val="ListParagraph"/>
        <w:numPr>
          <w:ilvl w:val="0"/>
          <w:numId w:val="2"/>
        </w:numPr>
        <w:spacing w:after="80" w:line="276"/>
      </w:pPr>
      <w:r>
        <w:rPr>
          <w:rFonts w:ascii="Times New Roman" w:cs="Times New Roman" w:eastAsia="Times New Roman" w:hAnsi="Times New Roman"/>
          <w:b w:val="false"/>
          <w:bCs w:val="false"/>
          <w:i w:val="false"/>
          <w:iCs w:val="false"/>
          <w:sz w:val="22"/>
          <w:szCs w:val="22"/>
        </w:rPr>
        <w:t xml:space="preserve">If I already acted: close the link and report any download or permission granted; if I entered credentials or approved a login, reset the password and end all sessions from a different, trusted device; if I installed an app or allowed remote access, stop using that device for sensitive tasks and seek help from another one.</w:t>
      </w:r>
    </w:p>
    <w:p>
      <w:pPr>
        <w:spacing w:after="120" w:line="276"/>
      </w:pPr>
      <w:r>
        <w:rPr>
          <w:rFonts w:ascii="Times New Roman" w:cs="Times New Roman" w:eastAsia="Times New Roman" w:hAnsi="Times New Roman"/>
          <w:b w:val="false"/>
          <w:bCs w:val="false"/>
          <w:i w:val="false"/>
          <w:iCs w:val="false"/>
          <w:sz w:val="22"/>
          <w:szCs w:val="22"/>
        </w:rPr>
        <w:t xml:space="preserve">Finally, the response matters as much as the control. If a friend tells me this happened to them, the useful answer is </w:t>
      </w:r>
      <w:r>
        <w:rPr>
          <w:rFonts w:ascii="Times New Roman" w:cs="Times New Roman" w:eastAsia="Times New Roman" w:hAnsi="Times New Roman"/>
          <w:b w:val="false"/>
          <w:bCs w:val="false"/>
          <w:i/>
          <w:iCs/>
          <w:sz w:val="22"/>
          <w:szCs w:val="22"/>
        </w:rPr>
        <w:t xml:space="preserve">“Thank you for telling me — what happened, and what have you already done?”</w:t>
      </w:r>
      <w:r>
        <w:rPr>
          <w:rFonts w:ascii="Times New Roman" w:cs="Times New Roman" w:eastAsia="Times New Roman" w:hAnsi="Times New Roman"/>
          <w:b w:val="false"/>
          <w:bCs w:val="false"/>
          <w:i w:val="false"/>
          <w:iCs w:val="false"/>
          <w:sz w:val="22"/>
          <w:szCs w:val="22"/>
        </w:rPr>
        <w:t xml:space="preserve"> and then help reaching the right reporting route. Asking “how could you fall for that?” only teaches people to hide the incident until the money is gone. Safer choices come from all three conditions together: </w:t>
      </w:r>
      <w:r>
        <w:rPr>
          <w:rFonts w:ascii="Times New Roman" w:cs="Times New Roman" w:eastAsia="Times New Roman" w:hAnsi="Times New Roman"/>
          <w:b/>
          <w:bCs/>
          <w:i w:val="false"/>
          <w:iCs w:val="false"/>
          <w:sz w:val="22"/>
          <w:szCs w:val="22"/>
        </w:rPr>
        <w:t xml:space="preserve">people</w:t>
      </w:r>
      <w:r>
        <w:rPr>
          <w:rFonts w:ascii="Times New Roman" w:cs="Times New Roman" w:eastAsia="Times New Roman" w:hAnsi="Times New Roman"/>
          <w:b w:val="false"/>
          <w:bCs w:val="false"/>
          <w:i w:val="false"/>
          <w:iCs w:val="false"/>
          <w:sz w:val="22"/>
          <w:szCs w:val="22"/>
        </w:rPr>
        <w:t xml:space="preserve"> who can pause and ask for help without embarrassment, a </w:t>
      </w:r>
      <w:r>
        <w:rPr>
          <w:rFonts w:ascii="Times New Roman" w:cs="Times New Roman" w:eastAsia="Times New Roman" w:hAnsi="Times New Roman"/>
          <w:b/>
          <w:bCs/>
          <w:i w:val="false"/>
          <w:iCs w:val="false"/>
          <w:sz w:val="22"/>
          <w:szCs w:val="22"/>
        </w:rPr>
        <w:t xml:space="preserve">process</w:t>
      </w:r>
      <w:r>
        <w:rPr>
          <w:rFonts w:ascii="Times New Roman" w:cs="Times New Roman" w:eastAsia="Times New Roman" w:hAnsi="Times New Roman"/>
          <w:b w:val="false"/>
          <w:bCs w:val="false"/>
          <w:i w:val="false"/>
          <w:iCs w:val="false"/>
          <w:sz w:val="22"/>
          <w:szCs w:val="22"/>
        </w:rPr>
        <w:t xml:space="preserve"> with a known verification step for important requests, and </w:t>
      </w:r>
      <w:r>
        <w:rPr>
          <w:rFonts w:ascii="Times New Roman" w:cs="Times New Roman" w:eastAsia="Times New Roman" w:hAnsi="Times New Roman"/>
          <w:b/>
          <w:bCs/>
          <w:i w:val="false"/>
          <w:iCs w:val="false"/>
          <w:sz w:val="22"/>
          <w:szCs w:val="22"/>
        </w:rPr>
        <w:t xml:space="preserve">technology</w:t>
      </w:r>
      <w:r>
        <w:rPr>
          <w:rFonts w:ascii="Times New Roman" w:cs="Times New Roman" w:eastAsia="Times New Roman" w:hAnsi="Times New Roman"/>
          <w:b w:val="false"/>
          <w:bCs w:val="false"/>
          <w:i w:val="false"/>
          <w:iCs w:val="false"/>
          <w:sz w:val="22"/>
          <w:szCs w:val="22"/>
        </w:rPr>
        <w:t xml:space="preserve"> that limits what one mistaken action can expose.</w:t>
      </w:r>
    </w:p>
    <w:p>
      <w:pPr>
        <w:spacing w:after="0" w:line="276"/>
      </w:pPr>
      <w:r>
        <w:rPr>
          <w:rFonts w:ascii="Times New Roman" w:cs="Times New Roman" w:eastAsia="Times New Roman" w:hAnsi="Times New Roman"/>
          <w:i/>
          <w:iCs/>
          <w:sz w:val="18"/>
          <w:szCs w:val="18"/>
        </w:rPr>
        <w:t xml:space="preserve">Sources: Korea Policy Briefing, 23 July 2018 (family account case); Changwon District Court notice, 8 July 2025 (fake court delivery); Uber security update, 19 September 2022; Twilio final incident report, 27 October 2022; Korean Financial Services Commission guidance on safe response; U.S. Federal Trade Commission phishing advice; course slides, Week 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2026-09-20T09:50:29.218Z</dcterms:created>
  <dcterms:modified xsi:type="dcterms:W3CDTF">2026-09-20T09:50:29.218Z</dcterms:modified>
</cp:coreProperties>
</file>

<file path=docProps/custom.xml><?xml version="1.0" encoding="utf-8"?>
<Properties xmlns="http://schemas.openxmlformats.org/officeDocument/2006/custom-properties" xmlns:vt="http://schemas.openxmlformats.org/officeDocument/2006/docPropsVTypes"/>
</file>