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CTT Request Portal Decommission — Move Request Intake to Workfront</w:t>
      </w:r>
    </w:p>
    <w:p>
      <w:r>
        <w:t>Master Business Requirements Document</w:t>
      </w:r>
    </w:p>
    <w:p>
      <w:r>
        <w:t>Version: 0.1 (Draft)</w:t>
      </w:r>
    </w:p>
    <w:p>
      <w:r>
        <w:t>Date: 20 August 2026</w:t>
      </w:r>
    </w:p>
    <w:p>
      <w:r>
        <w:t>Author: [Author Name]</w:t>
      </w:r>
    </w:p>
    <w:p>
      <w:r>
        <w:t>Status: Draft — For BCO and stakeholder review</w:t>
      </w:r>
    </w:p>
    <w:p/>
    <w:p>
      <w:pPr>
        <w:pStyle w:val="Heading2"/>
      </w:pPr>
      <w:r>
        <w:t>Document Information</w:t>
      </w:r>
    </w:p>
    <w:tbl>
      <w:tblPr>
        <w:tblStyle w:val="TableGrid"/>
        <w:tblW w:type="auto" w:w="0"/>
        <w:tblLook w:firstColumn="1" w:firstRow="1" w:lastColumn="0" w:lastRow="0" w:noHBand="0" w:noVBand="1" w:val="04A0"/>
      </w:tblPr>
      <w:tblGrid>
        <w:gridCol w:w="4513"/>
        <w:gridCol w:w="4513"/>
      </w:tblGrid>
      <w:tr>
        <w:tc>
          <w:tcPr>
            <w:tcW w:type="dxa" w:w="4513"/>
          </w:tcPr>
          <w:p>
            <w:r>
              <w:t>Field</w:t>
            </w:r>
          </w:p>
        </w:tc>
        <w:tc>
          <w:tcPr>
            <w:tcW w:type="dxa" w:w="4513"/>
          </w:tcPr>
          <w:p>
            <w:r>
              <w:t>Value</w:t>
            </w:r>
          </w:p>
        </w:tc>
      </w:tr>
      <w:tr>
        <w:tc>
          <w:tcPr>
            <w:tcW w:type="dxa" w:w="4513"/>
          </w:tcPr>
          <w:p>
            <w:r>
              <w:t>Document Title</w:t>
            </w:r>
          </w:p>
        </w:tc>
        <w:tc>
          <w:tcPr>
            <w:tcW w:type="dxa" w:w="4513"/>
          </w:tcPr>
          <w:p>
            <w:r>
              <w:t>CTT Request Portal Decommission — Move Request Intake to Workfront</w:t>
            </w:r>
          </w:p>
        </w:tc>
      </w:tr>
      <w:tr>
        <w:tc>
          <w:tcPr>
            <w:tcW w:type="dxa" w:w="4513"/>
          </w:tcPr>
          <w:p>
            <w:r>
              <w:t>Project Name</w:t>
            </w:r>
          </w:p>
        </w:tc>
        <w:tc>
          <w:tcPr>
            <w:tcW w:type="dxa" w:w="4513"/>
          </w:tcPr>
          <w:p>
            <w:r>
              <w:t>CTT Request Portal Decommission / Workfront Intake Integration</w:t>
            </w:r>
          </w:p>
        </w:tc>
      </w:tr>
      <w:tr>
        <w:tc>
          <w:tcPr>
            <w:tcW w:type="dxa" w:w="4513"/>
          </w:tcPr>
          <w:p>
            <w:r>
              <w:t>Document ID</w:t>
            </w:r>
          </w:p>
        </w:tc>
        <w:tc>
          <w:tcPr>
            <w:tcW w:type="dxa" w:w="4513"/>
          </w:tcPr>
          <w:p>
            <w:r>
              <w:t>[TBD]</w:t>
            </w:r>
          </w:p>
        </w:tc>
      </w:tr>
      <w:tr>
        <w:tc>
          <w:tcPr>
            <w:tcW w:type="dxa" w:w="4513"/>
          </w:tcPr>
          <w:p>
            <w:r>
              <w:t>Version</w:t>
            </w:r>
          </w:p>
        </w:tc>
        <w:tc>
          <w:tcPr>
            <w:tcW w:type="dxa" w:w="4513"/>
          </w:tcPr>
          <w:p>
            <w:r>
              <w:t>0.1</w:t>
            </w:r>
          </w:p>
        </w:tc>
      </w:tr>
      <w:tr>
        <w:tc>
          <w:tcPr>
            <w:tcW w:type="dxa" w:w="4513"/>
          </w:tcPr>
          <w:p>
            <w:r>
              <w:t>Status</w:t>
            </w:r>
          </w:p>
        </w:tc>
        <w:tc>
          <w:tcPr>
            <w:tcW w:type="dxa" w:w="4513"/>
          </w:tcPr>
          <w:p>
            <w:r>
              <w:t>Draft</w:t>
            </w:r>
          </w:p>
        </w:tc>
      </w:tr>
      <w:tr>
        <w:tc>
          <w:tcPr>
            <w:tcW w:type="dxa" w:w="4513"/>
          </w:tcPr>
          <w:p>
            <w:r>
              <w:t>Target Delivery</w:t>
            </w:r>
          </w:p>
        </w:tc>
        <w:tc>
          <w:tcPr>
            <w:tcW w:type="dxa" w:w="4513"/>
          </w:tcPr>
          <w:p>
            <w:r>
              <w:t>[TBD — align to FY27 Q2 planning window]</w:t>
            </w:r>
          </w:p>
        </w:tc>
      </w:tr>
      <w:tr>
        <w:tc>
          <w:tcPr>
            <w:tcW w:type="dxa" w:w="4513"/>
          </w:tcPr>
          <w:p>
            <w:r>
              <w:t>Author</w:t>
            </w:r>
          </w:p>
        </w:tc>
        <w:tc>
          <w:tcPr>
            <w:tcW w:type="dxa" w:w="4513"/>
          </w:tcPr>
          <w:p>
            <w:r>
              <w:t>[Author Name]</w:t>
            </w:r>
          </w:p>
        </w:tc>
      </w:tr>
      <w:tr>
        <w:tc>
          <w:tcPr>
            <w:tcW w:type="dxa" w:w="4513"/>
          </w:tcPr>
          <w:p>
            <w:r>
              <w:t>Date</w:t>
            </w:r>
          </w:p>
        </w:tc>
        <w:tc>
          <w:tcPr>
            <w:tcW w:type="dxa" w:w="4513"/>
          </w:tcPr>
          <w:p>
            <w:r>
              <w:t>20 August 2026</w:t>
            </w:r>
          </w:p>
        </w:tc>
      </w:tr>
      <w:tr>
        <w:tc>
          <w:tcPr>
            <w:tcW w:type="dxa" w:w="4513"/>
          </w:tcPr>
          <w:p>
            <w:r>
              <w:t>Related Documents</w:t>
            </w:r>
          </w:p>
        </w:tc>
        <w:tc>
          <w:tcPr>
            <w:tcW w:type="dxa" w:w="4513"/>
          </w:tcPr>
          <w:p>
            <w:r>
              <w:t>CTT Request Portal move to Workfront - Activity ID.docx (detailed Activity ID requirements — companion document)</w:t>
              <w:br/>
              <w:t>[TBD] Offer ID Requirements (companion document)</w:t>
              <w:br/>
              <w:t>[TBD] Workfront Channel &amp; Content ID Requirements (future-state companion document)</w:t>
            </w:r>
          </w:p>
        </w:tc>
      </w:tr>
    </w:tbl>
    <w:p>
      <w:pPr>
        <w:pStyle w:val="Heading2"/>
      </w:pPr>
      <w:r>
        <w:t>Revision History</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t>Date</w:t>
            </w:r>
          </w:p>
        </w:tc>
        <w:tc>
          <w:tcPr>
            <w:tcW w:type="dxa" w:w="1805"/>
          </w:tcPr>
          <w:p>
            <w:r>
              <w:t>Version</w:t>
            </w:r>
          </w:p>
        </w:tc>
        <w:tc>
          <w:tcPr>
            <w:tcW w:type="dxa" w:w="1805"/>
          </w:tcPr>
          <w:p>
            <w:r>
              <w:t>Description</w:t>
            </w:r>
          </w:p>
        </w:tc>
        <w:tc>
          <w:tcPr>
            <w:tcW w:type="dxa" w:w="1805"/>
          </w:tcPr>
          <w:p>
            <w:r>
              <w:t>Author</w:t>
            </w:r>
          </w:p>
        </w:tc>
        <w:tc>
          <w:tcPr>
            <w:tcW w:type="dxa" w:w="1805"/>
          </w:tcPr>
          <w:p>
            <w:r>
              <w:t>Change Summary</w:t>
            </w:r>
          </w:p>
        </w:tc>
      </w:tr>
      <w:tr>
        <w:tc>
          <w:tcPr>
            <w:tcW w:type="dxa" w:w="1805"/>
          </w:tcPr>
          <w:p>
            <w:r>
              <w:t>20 August 2026</w:t>
            </w:r>
          </w:p>
        </w:tc>
        <w:tc>
          <w:tcPr>
            <w:tcW w:type="dxa" w:w="1805"/>
          </w:tcPr>
          <w:p>
            <w:r>
              <w:t>0.1</w:t>
            </w:r>
          </w:p>
        </w:tc>
        <w:tc>
          <w:tcPr>
            <w:tcW w:type="dxa" w:w="1805"/>
          </w:tcPr>
          <w:p>
            <w:r>
              <w:t>Initial draft</w:t>
            </w:r>
          </w:p>
        </w:tc>
        <w:tc>
          <w:tcPr>
            <w:tcW w:type="dxa" w:w="1805"/>
          </w:tcPr>
          <w:p>
            <w:r>
              <w:t>[Author Name]</w:t>
            </w:r>
          </w:p>
        </w:tc>
        <w:tc>
          <w:tcPr>
            <w:tcW w:type="dxa" w:w="1805"/>
          </w:tcPr>
          <w:p>
            <w:r>
              <w:t>Created Master BRD with Activity ID scope; Offer ID and future-state sections reserved for companion documents.</w:t>
            </w:r>
          </w:p>
        </w:tc>
      </w:tr>
    </w:tbl>
    <w:p>
      <w:pPr>
        <w:pStyle w:val="Heading2"/>
      </w:pPr>
      <w:r>
        <w:t>Table of Contents</w:t>
      </w:r>
    </w:p>
    <w:p>
      <w:r>
        <w:t>[Update Table of Contents in Word before final publish]</w:t>
      </w:r>
    </w:p>
    <w:p>
      <w:pPr>
        <w:pStyle w:val="Heading1"/>
      </w:pPr>
      <w:r>
        <w:t>1. Introduction</w:t>
      </w:r>
    </w:p>
    <w:p>
      <w:pPr>
        <w:pStyle w:val="Heading2"/>
      </w:pPr>
      <w:r>
        <w:t>Executive Summary</w:t>
      </w:r>
    </w:p>
    <w:p>
      <w:r>
        <w:t>The CTT Request Portal is hosted on infrastructure scheduled for decommissioning. Marketing teams currently use this portal to request Campaign Tagging and Tracking (CTT) identifiers when they are not creating a Workfront marketing project. This project will decommission the CTT Request Portal and establish a single, supported intake path for identifier requests within the existing marketing operations workflow. Requirements in this document describe what the business needs—not how the Business Capability Owner (BCO) or delivery teams should implement the solution in Workfront or other systems.</w:t>
      </w:r>
    </w:p>
    <w:p>
      <w:pPr>
        <w:pStyle w:val="Heading2"/>
      </w:pPr>
      <w:r>
        <w:t>Problem Statement — Why?</w:t>
      </w:r>
    </w:p>
    <w:p>
      <w:pPr/>
      <w:r>
        <w:t>The CTT Request Portal (cdc-tools.cisco.com) is hosted on infrastructure scheduled for decommission, with no dedicated product ownership or sustainment capacity. Request fulfilment currently depends on Web Engineering resources, which may not align with marketing intake priorities. Marketing teams therefore use multiple entry points for identifier creation, increasing friction and leading to inconsistent data capture. Reporting and analytics teams require consistent, complete strategic metadata aligned to the campaign hierarchy regardless of intake path. At the same time, the organisation is transitioning from legacy identifiers (Activity ID, Offer ID) toward Workfront-native identifiers (Channel ID, Content ID), and intake must not create a dead-end when the CTT Tool is fully decommissioned.</w:t>
      </w:r>
    </w:p>
    <w:p>
      <w:pPr>
        <w:pStyle w:val="Heading2"/>
      </w:pPr>
      <w:r>
        <w:t>Vision — What?</w:t>
      </w:r>
    </w:p>
    <w:p>
      <w:pPr/>
      <w:r>
        <w:t>The business requires a single supported intake experience for Campaign Tagging and Tracking identifier requests, integrated into the marketing operations workflow teams use today. Requesters must receive clear guidance on when identifiers are created automatically—for example, as part of a Workfront marketing project workflow—versus when a standalone request is required. During the hybrid tracking period (FY27 and beyond as needed), teams must retain the ability to request legacy identifiers (Activity ID, Offer ID). This Master BRD also establishes a requirements foundation that can be extended for Offer ID intake and, in a companion document, for Workfront Channel and Content ID intake after CTT Tool decommission. Across all identifier types, strategic metadata (campaign hierarchy, stakeholder, funnel stage, region, and related fields) must be captured consistently to support reporting, attribution, and governance.</w:t>
      </w:r>
    </w:p>
    <w:p>
      <w:pPr>
        <w:pStyle w:val="Heading2"/>
      </w:pPr>
      <w:r>
        <w:t>Benefit Summary — Who?</w:t>
      </w:r>
    </w:p>
    <w:tbl>
      <w:tblPr>
        <w:tblStyle w:val="TableGrid"/>
        <w:tblW w:type="auto" w:w="0"/>
        <w:tblLook w:firstColumn="1" w:firstRow="1" w:lastColumn="0" w:lastRow="0" w:noHBand="0" w:noVBand="1" w:val="04A0"/>
      </w:tblPr>
      <w:tblGrid>
        <w:gridCol w:w="4513"/>
        <w:gridCol w:w="4513"/>
      </w:tblGrid>
      <w:tr>
        <w:tc>
          <w:tcPr>
            <w:tcW w:type="dxa" w:w="4513"/>
          </w:tcPr>
          <w:p>
            <w:r>
              <w:t>Stakeholder / Team</w:t>
            </w:r>
          </w:p>
        </w:tc>
        <w:tc>
          <w:tcPr>
            <w:tcW w:type="dxa" w:w="4513"/>
          </w:tcPr>
          <w:p>
            <w:r>
              <w:t>Benefit</w:t>
            </w:r>
          </w:p>
        </w:tc>
      </w:tr>
      <w:tr>
        <w:tc>
          <w:tcPr>
            <w:tcW w:type="dxa" w:w="4513"/>
          </w:tcPr>
          <w:p>
            <w:r>
              <w:t>Marketing teams</w:t>
            </w:r>
          </w:p>
        </w:tc>
        <w:tc>
          <w:tcPr>
            <w:tcW w:type="dxa" w:w="4513"/>
          </w:tcPr>
          <w:p>
            <w:r>
              <w:t>One supported entry point for identifier requests; reduced tool sprawl; clearer guidance on project vs. standalone requests.</w:t>
            </w:r>
          </w:p>
        </w:tc>
      </w:tr>
      <w:tr>
        <w:tc>
          <w:tcPr>
            <w:tcW w:type="dxa" w:w="4513"/>
          </w:tcPr>
          <w:p>
            <w:r>
              <w:t>Reporting &amp; analytics teams</w:t>
            </w:r>
          </w:p>
        </w:tc>
        <w:tc>
          <w:tcPr>
            <w:tcW w:type="dxa" w:w="4513"/>
          </w:tcPr>
          <w:p>
            <w:r>
              <w:t>Consistent data capture and alignment to campaign hierarchy for attribution and performance reporting.</w:t>
            </w:r>
          </w:p>
        </w:tc>
      </w:tr>
      <w:tr>
        <w:tc>
          <w:tcPr>
            <w:tcW w:type="dxa" w:w="4513"/>
          </w:tcPr>
          <w:p>
            <w:r>
              <w:t>Business Capability Owner (BCO)</w:t>
            </w:r>
          </w:p>
        </w:tc>
        <w:tc>
          <w:tcPr>
            <w:tcW w:type="dxa" w:w="4513"/>
          </w:tcPr>
          <w:p>
            <w:r>
              <w:t>Ownership of intake within the capability tool (Workfront) without prescriptive solution design in this BRD.</w:t>
            </w:r>
          </w:p>
        </w:tc>
      </w:tr>
      <w:tr>
        <w:tc>
          <w:tcPr>
            <w:tcW w:type="dxa" w:w="4513"/>
          </w:tcPr>
          <w:p>
            <w:r>
              <w:t>Web Engineering / platform teams</w:t>
            </w:r>
          </w:p>
        </w:tc>
        <w:tc>
          <w:tcPr>
            <w:tcW w:type="dxa" w:w="4513"/>
          </w:tcPr>
          <w:p>
            <w:r>
              <w:t>Removal of dependency on legacy portal infrastructure scheduled for decommission.</w:t>
            </w:r>
          </w:p>
        </w:tc>
      </w:tr>
      <w:tr>
        <w:tc>
          <w:tcPr>
            <w:tcW w:type="dxa" w:w="4513"/>
          </w:tcPr>
          <w:p>
            <w:r>
              <w:t>GTMPR / governance</w:t>
            </w:r>
          </w:p>
        </w:tc>
        <w:tc>
          <w:tcPr>
            <w:tcW w:type="dxa" w:w="4513"/>
          </w:tcPr>
          <w:p>
            <w:r>
              <w:t>Improved traceability of identifier creation to strategic campaign metadata.</w:t>
            </w:r>
          </w:p>
        </w:tc>
      </w:tr>
    </w:tbl>
    <w:p>
      <w:pPr>
        <w:pStyle w:val="Heading1"/>
      </w:pPr>
      <w:r>
        <w:t>2. Scope and Limitations</w:t>
      </w:r>
    </w:p>
    <w:p>
      <w:pPr>
        <w:pStyle w:val="Heading2"/>
      </w:pPr>
      <w:r>
        <w:t>In-Scope</w:t>
      </w:r>
    </w:p>
    <w:p>
      <w:pPr>
        <w:pStyle w:val="ListBullet"/>
      </w:pPr>
      <w:r>
        <w:t>Decommission of the CTT Request Portal as the intake mechanism for standalone CTT identifier requests.</w:t>
      </w:r>
    </w:p>
    <w:p>
      <w:pPr>
        <w:pStyle w:val="ListBullet"/>
      </w:pPr>
      <w:r>
        <w:t>Business requirements for standalone Activity ID request intake (create, update, bulk) — detailed field-level rules in companion Activity ID document.</w:t>
      </w:r>
    </w:p>
    <w:p>
      <w:pPr>
        <w:pStyle w:val="ListBullet"/>
      </w:pPr>
      <w:r>
        <w:t>Business requirements for routing/guidance when a requester intends to create a Workfront marketing project (identifiers expected via project workflow).</w:t>
      </w:r>
    </w:p>
    <w:p>
      <w:pPr>
        <w:pStyle w:val="ListBullet"/>
      </w:pPr>
      <w:r>
        <w:t>Placeholder requirements structure for Offer ID intake — to be completed in this BRD or a companion document.</w:t>
      </w:r>
    </w:p>
    <w:p>
      <w:pPr>
        <w:pStyle w:val="ListBullet"/>
      </w:pPr>
      <w:r>
        <w:t>Future-proofing requirement: intake design must accommodate transition to Workfront Channel and Content IDs when the CTT Tool is decommissioned (detailed in separate future-state document).</w:t>
      </w:r>
    </w:p>
    <w:p>
      <w:pPr>
        <w:pStyle w:val="ListBullet"/>
      </w:pPr>
      <w:r>
        <w:t>Stakeholder metadata capture requirements common across identifier types.</w:t>
      </w:r>
    </w:p>
    <w:p>
      <w:pPr>
        <w:pStyle w:val="ListBullet"/>
      </w:pPr>
      <w:r>
        <w:t>Impacts to downstream reporting (OMS/Snowflake) and integrations consuming CTT-generated identifiers.</w:t>
      </w:r>
    </w:p>
    <w:p>
      <w:pPr>
        <w:pStyle w:val="Heading2"/>
      </w:pPr>
      <w:r>
        <w:t>Out of Scope</w:t>
      </w:r>
    </w:p>
    <w:p>
      <w:pPr>
        <w:pStyle w:val="ListBullet"/>
      </w:pPr>
      <w:r>
        <w:t>Technical design of Workfront forms, custom fields, automations, or API integrations — owned by BCO and delivery teams.</w:t>
      </w:r>
    </w:p>
    <w:p>
      <w:pPr>
        <w:pStyle w:val="ListBullet"/>
      </w:pPr>
      <w:r>
        <w:t>Detailed Offer ID field rules and validation matrices — deferred to Offer ID section/companion document.</w:t>
      </w:r>
    </w:p>
    <w:p>
      <w:pPr>
        <w:pStyle w:val="ListBullet"/>
      </w:pPr>
      <w:r>
        <w:t>Detailed Channel ID and Content ID field rules — deferred to future-state companion document.</w:t>
      </w:r>
    </w:p>
    <w:p>
      <w:pPr>
        <w:pStyle w:val="ListBullet"/>
      </w:pPr>
      <w:r>
        <w:t>Changes to attribution model logic beyond identifying identifier types that must be excluded from double-counting (e.g., Event/Webinar Activity IDs).</w:t>
      </w:r>
    </w:p>
    <w:p>
      <w:pPr>
        <w:pStyle w:val="ListBullet"/>
      </w:pPr>
      <w:r>
        <w:t>Decommission of the CTT Tool itself (identifier generation engine) — separate programme; this BRD addresses portal decommission and intake relocation.</w:t>
      </w:r>
    </w:p>
    <w:p>
      <w:pPr>
        <w:pStyle w:val="Heading2"/>
      </w:pPr>
      <w:r>
        <w:t>Assumptions</w:t>
      </w:r>
    </w:p>
    <w:p>
      <w:pPr>
        <w:pStyle w:val="ListBullet"/>
      </w:pPr>
      <w:r>
        <w:t>Workfront remains the system of record for marketing project intake for teams adopting the standard workflow.</w:t>
      </w:r>
    </w:p>
    <w:p>
      <w:pPr>
        <w:pStyle w:val="ListBullet"/>
      </w:pPr>
      <w:r>
        <w:t>Legacy identifiers (Activity ID, Offer ID) remain required during the hybrid tracking period.</w:t>
      </w:r>
    </w:p>
    <w:p>
      <w:pPr>
        <w:pStyle w:val="ListBullet"/>
      </w:pPr>
      <w:r>
        <w:t>The BCO for Workfront intake will determine final UX, field placement, and automation within Workfront.</w:t>
      </w:r>
    </w:p>
    <w:p>
      <w:pPr>
        <w:pStyle w:val="ListBullet"/>
      </w:pPr>
      <w:r>
        <w:t>Existing campaign hierarchy validation rules (Campaign / Program / Primary Technology) remain the business standard for Activity ID requests.</w:t>
      </w:r>
    </w:p>
    <w:p>
      <w:pPr>
        <w:pStyle w:val="ListBullet"/>
      </w:pPr>
      <w:r>
        <w:t>Downstream systems (OMS, reporting) will continue to consume identifier and metadata records via established integration patterns until CTT Tool decommission.</w:t>
      </w:r>
    </w:p>
    <w:p>
      <w:pPr>
        <w:pStyle w:val="Heading2"/>
      </w:pPr>
      <w:r>
        <w:t>Dependencies</w:t>
      </w:r>
    </w:p>
    <w:p>
      <w:pPr>
        <w:pStyle w:val="ListBullet"/>
      </w:pPr>
      <w:r>
        <w:t>BCO approval of intake relocation into Workfront capability.</w:t>
      </w:r>
    </w:p>
    <w:p>
      <w:pPr>
        <w:pStyle w:val="ListBullet"/>
      </w:pPr>
      <w:r>
        <w:t>Availability of Workfront configuration/automation capacity aligned to target delivery.</w:t>
      </w:r>
    </w:p>
    <w:p>
      <w:pPr>
        <w:pStyle w:val="ListBullet"/>
      </w:pPr>
      <w:r>
        <w:t>CTT Tool API or equivalent identifier generation service remains available during hybrid period.</w:t>
      </w:r>
    </w:p>
    <w:p>
      <w:pPr>
        <w:pStyle w:val="ListBullet"/>
      </w:pPr>
      <w:r>
        <w:t>Campaign hierarchy reference data (Campaign, Program, Technology lists and validation matrices) maintained by governance owners.</w:t>
      </w:r>
    </w:p>
    <w:p>
      <w:pPr>
        <w:pStyle w:val="ListBullet"/>
      </w:pPr>
      <w:r>
        <w:t>Coordination with Web Engineering for CTT Request Portal decommission timeline.</w:t>
      </w:r>
    </w:p>
    <w:p>
      <w:pPr>
        <w:pStyle w:val="ListBullet"/>
      </w:pPr>
      <w:r>
        <w:t>Companion requirements documents for Offer ID and future Channel/Content ID intake.</w:t>
      </w:r>
    </w:p>
    <w:p>
      <w:pPr>
        <w:pStyle w:val="Heading2"/>
      </w:pPr>
      <w:r>
        <w:t>Success Metrics</w:t>
      </w:r>
    </w:p>
    <w:p>
      <w:pPr>
        <w:pStyle w:val="ListBullet"/>
      </w:pPr>
      <w:r>
        <w:t>CTT Request Portal decommissioned by agreed date with no increase in intake SLA breaches.</w:t>
      </w:r>
    </w:p>
    <w:p>
      <w:pPr>
        <w:pStyle w:val="ListBullet"/>
      </w:pPr>
      <w:r>
        <w:t>≥ [TBD]% of standalone identifier requests submitted via the new supported intake path within [TBD] days of go-live.</w:t>
      </w:r>
    </w:p>
    <w:p>
      <w:pPr>
        <w:pStyle w:val="ListBullet"/>
      </w:pPr>
      <w:r>
        <w:t>Reduction in Web Engineering tickets related to CTT portal issues to zero post-decommission.</w:t>
      </w:r>
    </w:p>
    <w:p>
      <w:pPr>
        <w:pStyle w:val="ListBullet"/>
      </w:pPr>
      <w:r>
        <w:t>Reporting data quality: ≥ [TBD]% of new Activity IDs include complete mandatory strategic metadata fields.</w:t>
      </w:r>
    </w:p>
    <w:p>
      <w:pPr>
        <w:pStyle w:val="ListBullet"/>
      </w:pPr>
      <w:r>
        <w:t>Zero regression in downstream OMS/reporting ingestion for identifier records during transition period.</w:t>
      </w:r>
    </w:p>
    <w:p>
      <w:pPr>
        <w:pStyle w:val="Heading1"/>
      </w:pPr>
      <w:r>
        <w:t>3. Summary of Impacts</w:t>
      </w:r>
    </w:p>
    <w:tbl>
      <w:tblPr>
        <w:tblStyle w:val="TableGrid"/>
        <w:tblW w:type="auto" w:w="0"/>
        <w:tblLook w:firstColumn="1" w:firstRow="1" w:lastColumn="0" w:lastRow="0" w:noHBand="0" w:noVBand="1" w:val="04A0"/>
      </w:tblPr>
      <w:tblGrid>
        <w:gridCol w:w="4513"/>
        <w:gridCol w:w="4513"/>
      </w:tblGrid>
      <w:tr>
        <w:tc>
          <w:tcPr>
            <w:tcW w:type="dxa" w:w="4513"/>
          </w:tcPr>
          <w:p>
            <w:r>
              <w:t>Area</w:t>
            </w:r>
          </w:p>
        </w:tc>
        <w:tc>
          <w:tcPr>
            <w:tcW w:type="dxa" w:w="4513"/>
          </w:tcPr>
          <w:p>
            <w:r>
              <w:t>Summary of Impact</w:t>
            </w:r>
          </w:p>
        </w:tc>
      </w:tr>
      <w:tr>
        <w:tc>
          <w:tcPr>
            <w:tcW w:type="dxa" w:w="4513"/>
          </w:tcPr>
          <w:p>
            <w:r>
              <w:t>Workfront (BCO-owned)</w:t>
            </w:r>
          </w:p>
        </w:tc>
        <w:tc>
          <w:tcPr>
            <w:tcW w:type="dxa" w:w="4513"/>
          </w:tcPr>
          <w:p>
            <w:r>
              <w:t>New or extended intake capability for standalone CTT identifier requests; guidance for project-based vs. standalone paths. Solution design at BCO discretion.</w:t>
            </w:r>
          </w:p>
        </w:tc>
      </w:tr>
      <w:tr>
        <w:tc>
          <w:tcPr>
            <w:tcW w:type="dxa" w:w="4513"/>
          </w:tcPr>
          <w:p>
            <w:r>
              <w:t>CTT Request Portal</w:t>
            </w:r>
          </w:p>
        </w:tc>
        <w:tc>
          <w:tcPr>
            <w:tcW w:type="dxa" w:w="4513"/>
          </w:tcPr>
          <w:p>
            <w:r>
              <w:t>Decommission — no new standalone requests after cutover.</w:t>
            </w:r>
          </w:p>
        </w:tc>
      </w:tr>
      <w:tr>
        <w:tc>
          <w:tcPr>
            <w:tcW w:type="dxa" w:w="4513"/>
          </w:tcPr>
          <w:p>
            <w:r>
              <w:t>CTT Tool</w:t>
            </w:r>
          </w:p>
        </w:tc>
        <w:tc>
          <w:tcPr>
            <w:tcW w:type="dxa" w:w="4513"/>
          </w:tcPr>
          <w:p>
            <w:r>
              <w:t>Continues to generate legacy identifiers during hybrid period; intake source changes from portal to Workfront-mediated requests.</w:t>
            </w:r>
          </w:p>
        </w:tc>
      </w:tr>
      <w:tr>
        <w:tc>
          <w:tcPr>
            <w:tcW w:type="dxa" w:w="4513"/>
          </w:tcPr>
          <w:p>
            <w:r>
              <w:t>OMS / Snowflake</w:t>
            </w:r>
          </w:p>
        </w:tc>
        <w:tc>
          <w:tcPr>
            <w:tcW w:type="dxa" w:w="4513"/>
          </w:tcPr>
          <w:p>
            <w:r>
              <w:t>Must continue to receive identifier and metadata records; validate no data gap at portal decommission.</w:t>
            </w:r>
          </w:p>
        </w:tc>
      </w:tr>
      <w:tr>
        <w:tc>
          <w:tcPr>
            <w:tcW w:type="dxa" w:w="4513"/>
          </w:tcPr>
          <w:p>
            <w:r>
              <w:t>Reporting / attribution</w:t>
            </w:r>
          </w:p>
        </w:tc>
        <w:tc>
          <w:tcPr>
            <w:tcW w:type="dxa" w:w="4513"/>
          </w:tcPr>
          <w:p>
            <w:r>
              <w:t>Consistent metadata capture; Event/Webinar Activity IDs flagged appropriately for attribution treatment.</w:t>
            </w:r>
          </w:p>
        </w:tc>
      </w:tr>
      <w:tr>
        <w:tc>
          <w:tcPr>
            <w:tcW w:type="dxa" w:w="4513"/>
          </w:tcPr>
          <w:p>
            <w:r>
              <w:t>Marketing teams</w:t>
            </w:r>
          </w:p>
        </w:tc>
        <w:tc>
          <w:tcPr>
            <w:tcW w:type="dxa" w:w="4513"/>
          </w:tcPr>
          <w:p>
            <w:r>
              <w:t>Updated intake path and communications; training on when to use project workflow vs. standalone request.</w:t>
            </w:r>
          </w:p>
        </w:tc>
      </w:tr>
      <w:tr>
        <w:tc>
          <w:tcPr>
            <w:tcW w:type="dxa" w:w="4513"/>
          </w:tcPr>
          <w:p>
            <w:r>
              <w:t>Web Engineering</w:t>
            </w:r>
          </w:p>
        </w:tc>
        <w:tc>
          <w:tcPr>
            <w:tcW w:type="dxa" w:w="4513"/>
          </w:tcPr>
          <w:p>
            <w:r>
              <w:t>Reduced sustainment burden after portal decommission.</w:t>
            </w:r>
          </w:p>
        </w:tc>
      </w:tr>
    </w:tbl>
    <w:p>
      <w:pPr>
        <w:pStyle w:val="Heading1"/>
      </w:pPr>
      <w:r>
        <w:t>4. Stakeholder Requirements</w:t>
      </w:r>
    </w:p>
    <w:p>
      <w:r>
        <w:t>Requirements are expressed as business needs. Requirement codes CCID and OID identify changes needed to support Activity ID and Offer ID respectively. Detailed Activity ID field logic is maintained in the companion document: "CTT Request Portal move to Workfront - Activity ID.docx". Offer ID and future Channel/Content ID requirements will be added via BRD amendment or companion documents.</w:t>
      </w:r>
    </w:p>
    <w:p>
      <w:pPr>
        <w:pStyle w:val="Heading2"/>
      </w:pPr>
      <w:r>
        <w:t>Requirement Codes</w:t>
      </w:r>
    </w:p>
    <w:tbl>
      <w:tblPr>
        <w:tblStyle w:val="TableGrid"/>
        <w:tblW w:type="auto" w:w="0"/>
        <w:tblLook w:firstColumn="1" w:firstRow="1" w:lastColumn="0" w:lastRow="0" w:noHBand="0" w:noVBand="1" w:val="04A0"/>
      </w:tblPr>
      <w:tblGrid>
        <w:gridCol w:w="3009"/>
        <w:gridCol w:w="3009"/>
        <w:gridCol w:w="3009"/>
      </w:tblGrid>
      <w:tr>
        <w:tc>
          <w:tcPr>
            <w:tcW w:type="dxa" w:w="3009"/>
          </w:tcPr>
          <w:p>
            <w:r>
              <w:t>Code</w:t>
            </w:r>
          </w:p>
        </w:tc>
        <w:tc>
          <w:tcPr>
            <w:tcW w:type="dxa" w:w="3009"/>
          </w:tcPr>
          <w:p>
            <w:r>
              <w:t>Identifier Type</w:t>
            </w:r>
          </w:p>
        </w:tc>
        <w:tc>
          <w:tcPr>
            <w:tcW w:type="dxa" w:w="3009"/>
          </w:tcPr>
          <w:p>
            <w:r>
              <w:t>Description</w:t>
            </w:r>
          </w:p>
        </w:tc>
      </w:tr>
      <w:tr>
        <w:tc>
          <w:tcPr>
            <w:tcW w:type="dxa" w:w="3009"/>
          </w:tcPr>
          <w:p>
            <w:r>
              <w:t>CCID</w:t>
            </w:r>
          </w:p>
        </w:tc>
        <w:tc>
          <w:tcPr>
            <w:tcW w:type="dxa" w:w="3009"/>
          </w:tcPr>
          <w:p>
            <w:r>
              <w:t>Activity ID</w:t>
            </w:r>
          </w:p>
        </w:tc>
        <w:tc>
          <w:tcPr>
            <w:tcW w:type="dxa" w:w="3009"/>
          </w:tcPr>
          <w:p>
            <w:r>
              <w:t>Changes needed to support an Activity ID</w:t>
            </w:r>
          </w:p>
        </w:tc>
      </w:tr>
      <w:tr>
        <w:tc>
          <w:tcPr>
            <w:tcW w:type="dxa" w:w="3009"/>
          </w:tcPr>
          <w:p>
            <w:r>
              <w:t>OID</w:t>
            </w:r>
          </w:p>
        </w:tc>
        <w:tc>
          <w:tcPr>
            <w:tcW w:type="dxa" w:w="3009"/>
          </w:tcPr>
          <w:p>
            <w:r>
              <w:t>Offer ID</w:t>
            </w:r>
          </w:p>
        </w:tc>
        <w:tc>
          <w:tcPr>
            <w:tcW w:type="dxa" w:w="3009"/>
          </w:tcPr>
          <w:p>
            <w:r>
              <w:t>Changes needed to support an Offer ID</w:t>
            </w:r>
          </w:p>
        </w:tc>
      </w:tr>
    </w:tbl>
    <w:p>
      <w:pPr>
        <w:pStyle w:val="Heading2"/>
      </w:pPr>
      <w:r>
        <w:t>4.1 Intake Routing &amp; Common Experience</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Req ID</w:t>
            </w:r>
          </w:p>
        </w:tc>
        <w:tc>
          <w:tcPr>
            <w:tcW w:type="dxa" w:w="2256"/>
          </w:tcPr>
          <w:p>
            <w:r>
              <w:t>Requirement</w:t>
            </w:r>
          </w:p>
        </w:tc>
        <w:tc>
          <w:tcPr>
            <w:tcW w:type="dxa" w:w="2256"/>
          </w:tcPr>
          <w:p>
            <w:r>
              <w:t>Priority</w:t>
            </w:r>
          </w:p>
        </w:tc>
        <w:tc>
          <w:tcPr>
            <w:tcW w:type="dxa" w:w="2256"/>
          </w:tcPr>
          <w:p>
            <w:r>
              <w:t>Notes</w:t>
            </w:r>
          </w:p>
        </w:tc>
      </w:tr>
      <w:tr>
        <w:tc>
          <w:tcPr>
            <w:tcW w:type="dxa" w:w="2256"/>
          </w:tcPr>
          <w:p>
            <w:r>
              <w:t>REQ-CTT-WF-INT-001</w:t>
            </w:r>
          </w:p>
        </w:tc>
        <w:tc>
          <w:tcPr>
            <w:tcW w:type="dxa" w:w="2256"/>
          </w:tcPr>
          <w:p>
            <w:r>
              <w:t>The business must provide a single supported intake path for Campaign Tagging and Tracking identifier requests that replaces the CTT Request Portal.</w:t>
            </w:r>
          </w:p>
        </w:tc>
        <w:tc>
          <w:tcPr>
            <w:tcW w:type="dxa" w:w="2256"/>
          </w:tcPr>
          <w:p>
            <w:r>
              <w:t>Must Have</w:t>
            </w:r>
          </w:p>
        </w:tc>
        <w:tc>
          <w:tcPr>
            <w:tcW w:type="dxa" w:w="2256"/>
          </w:tcPr>
          <w:p>
            <w:r>
              <w:t>Does not prescribe Workfront form vs. task vs. other BCO-owned pattern.</w:t>
            </w:r>
          </w:p>
        </w:tc>
      </w:tr>
      <w:tr>
        <w:tc>
          <w:tcPr>
            <w:tcW w:type="dxa" w:w="2256"/>
          </w:tcPr>
          <w:p>
            <w:r>
              <w:t>REQ-CTT-WF-INT-002</w:t>
            </w:r>
          </w:p>
        </w:tc>
        <w:tc>
          <w:tcPr>
            <w:tcW w:type="dxa" w:w="2256"/>
          </w:tcPr>
          <w:p>
            <w:r>
              <w:t>The intake experience must determine whether the requester intends to create a Workfront marketing project for their initiative.</w:t>
            </w:r>
          </w:p>
        </w:tc>
        <w:tc>
          <w:tcPr>
            <w:tcW w:type="dxa" w:w="2256"/>
          </w:tcPr>
          <w:p>
            <w:r>
              <w:t>Must Have</w:t>
            </w:r>
          </w:p>
        </w:tc>
        <w:tc>
          <w:tcPr>
            <w:tcW w:type="dxa" w:w="2256"/>
          </w:tcPr>
          <w:p>
            <w:r>
              <w:t>Decision point only; implementation at BCO discretion.</w:t>
            </w:r>
          </w:p>
        </w:tc>
      </w:tr>
      <w:tr>
        <w:tc>
          <w:tcPr>
            <w:tcW w:type="dxa" w:w="2256"/>
          </w:tcPr>
          <w:p>
            <w:r>
              <w:t>REQ-CTT-WF-INT-003</w:t>
            </w:r>
          </w:p>
        </w:tc>
        <w:tc>
          <w:tcPr>
            <w:tcW w:type="dxa" w:w="2256"/>
          </w:tcPr>
          <w:p>
            <w:r>
              <w:t>When the requester indicates they will create a Workfront marketing project, the business must inform them that identifiers will be generated through the project workflow and a standalone request is not required.</w:t>
            </w:r>
          </w:p>
        </w:tc>
        <w:tc>
          <w:tcPr>
            <w:tcW w:type="dxa" w:w="2256"/>
          </w:tcPr>
          <w:p>
            <w:r>
              <w:t>Must Have</w:t>
            </w:r>
          </w:p>
        </w:tc>
        <w:tc>
          <w:tcPr>
            <w:tcW w:type="dxa" w:w="2256"/>
          </w:tcPr>
          <w:p>
            <w:r>
              <w:t>Messaging requirement only.</w:t>
            </w:r>
          </w:p>
        </w:tc>
      </w:tr>
      <w:tr>
        <w:tc>
          <w:tcPr>
            <w:tcW w:type="dxa" w:w="2256"/>
          </w:tcPr>
          <w:p>
            <w:r>
              <w:t>REQ-CTT-WF-INT-004</w:t>
            </w:r>
          </w:p>
        </w:tc>
        <w:tc>
          <w:tcPr>
            <w:tcW w:type="dxa" w:w="2256"/>
          </w:tcPr>
          <w:p>
            <w:r>
              <w:t>When the requester indicates they will not create a Workfront marketing project, the business must allow them to proceed with a standalone identifier request.</w:t>
            </w:r>
          </w:p>
        </w:tc>
        <w:tc>
          <w:tcPr>
            <w:tcW w:type="dxa" w:w="2256"/>
          </w:tcPr>
          <w:p>
            <w:r>
              <w:t>Must Have</w:t>
            </w:r>
          </w:p>
        </w:tc>
        <w:tc>
          <w:tcPr>
            <w:tcW w:type="dxa" w:w="2256"/>
          </w:tcPr>
          <w:p>
            <w:r/>
          </w:p>
        </w:tc>
      </w:tr>
      <w:tr>
        <w:tc>
          <w:tcPr>
            <w:tcW w:type="dxa" w:w="2256"/>
          </w:tcPr>
          <w:p>
            <w:r>
              <w:t>REQ-CTT-WF-INT-005</w:t>
            </w:r>
          </w:p>
        </w:tc>
        <w:tc>
          <w:tcPr>
            <w:tcW w:type="dxa" w:w="2256"/>
          </w:tcPr>
          <w:p>
            <w:r>
              <w:t>The intake experience must allow the requester to indicate whether they need a legacy identifier (Activity ID or Offer ID) or a Workfront-native identifier (Channel ID or Content ID).</w:t>
            </w:r>
          </w:p>
        </w:tc>
        <w:tc>
          <w:tcPr>
            <w:tcW w:type="dxa" w:w="2256"/>
          </w:tcPr>
          <w:p>
            <w:r>
              <w:t>Must Have</w:t>
            </w:r>
          </w:p>
        </w:tc>
        <w:tc>
          <w:tcPr>
            <w:tcW w:type="dxa" w:w="2256"/>
          </w:tcPr>
          <w:p>
            <w:r>
              <w:t>Channel/Content path detailed in future companion document.</w:t>
            </w:r>
          </w:p>
        </w:tc>
      </w:tr>
      <w:tr>
        <w:tc>
          <w:tcPr>
            <w:tcW w:type="dxa" w:w="2256"/>
          </w:tcPr>
          <w:p>
            <w:r>
              <w:t>REQ-CTT-WF-INT-006</w:t>
            </w:r>
          </w:p>
        </w:tc>
        <w:tc>
          <w:tcPr>
            <w:tcW w:type="dxa" w:w="2256"/>
          </w:tcPr>
          <w:p>
            <w:r>
              <w:t>The intake experience must support Create, Update, and Bulk request actions for applicable identifier types.</w:t>
            </w:r>
          </w:p>
        </w:tc>
        <w:tc>
          <w:tcPr>
            <w:tcW w:type="dxa" w:w="2256"/>
          </w:tcPr>
          <w:p>
            <w:r>
              <w:t>Must Have</w:t>
            </w:r>
          </w:p>
        </w:tc>
        <w:tc>
          <w:tcPr>
            <w:tcW w:type="dxa" w:w="2256"/>
          </w:tcPr>
          <w:p>
            <w:r>
              <w:t>Bulk validation rules must match single-request business rules.</w:t>
            </w:r>
          </w:p>
        </w:tc>
      </w:tr>
      <w:tr>
        <w:tc>
          <w:tcPr>
            <w:tcW w:type="dxa" w:w="2256"/>
          </w:tcPr>
          <w:p>
            <w:r>
              <w:t>REQ-CTT-WF-INT-007</w:t>
            </w:r>
          </w:p>
        </w:tc>
        <w:tc>
          <w:tcPr>
            <w:tcW w:type="dxa" w:w="2256"/>
          </w:tcPr>
          <w:p>
            <w:r>
              <w:t>The business must capture the requester's CEC ID for all standalone requests for audit and contact purposes.</w:t>
            </w:r>
          </w:p>
        </w:tc>
        <w:tc>
          <w:tcPr>
            <w:tcW w:type="dxa" w:w="2256"/>
          </w:tcPr>
          <w:p>
            <w:r>
              <w:t>Must Have</w:t>
            </w:r>
          </w:p>
        </w:tc>
        <w:tc>
          <w:tcPr>
            <w:tcW w:type="dxa" w:w="2256"/>
          </w:tcPr>
          <w:p>
            <w:r/>
          </w:p>
        </w:tc>
      </w:tr>
      <w:tr>
        <w:tc>
          <w:tcPr>
            <w:tcW w:type="dxa" w:w="2256"/>
          </w:tcPr>
          <w:p>
            <w:r>
              <w:t>REQ-CTT-WF-INT-008</w:t>
            </w:r>
          </w:p>
        </w:tc>
        <w:tc>
          <w:tcPr>
            <w:tcW w:type="dxa" w:w="2256"/>
          </w:tcPr>
          <w:p>
            <w:r>
              <w:t>The business must capture Stakeholder Unit, Stakeholder, Funnel Stage, Marketing Initiative, and Region for standalone requests as defined in governance lists.</w:t>
            </w:r>
          </w:p>
        </w:tc>
        <w:tc>
          <w:tcPr>
            <w:tcW w:type="dxa" w:w="2256"/>
          </w:tcPr>
          <w:p>
            <w:r>
              <w:t>Must Have</w:t>
            </w:r>
          </w:p>
        </w:tc>
        <w:tc>
          <w:tcPr>
            <w:tcW w:type="dxa" w:w="2256"/>
          </w:tcPr>
          <w:p>
            <w:r>
              <w:t>Reference lists maintained by business owners.</w:t>
            </w:r>
          </w:p>
        </w:tc>
      </w:tr>
    </w:tbl>
    <w:p>
      <w:pPr>
        <w:pStyle w:val="Heading2"/>
      </w:pPr>
      <w:r>
        <w:t>4.2 Activity ID Requirements (Summary)</w:t>
      </w:r>
    </w:p>
    <w:p>
      <w:r>
        <w:t>Full field-level requirements, conditional campaign hierarchy logic (Paths A/B/C), validation matrices, and bulk/update rules are documented in: CTT Request Portal move to Workfront - Activity ID.docx. The following summarises business requirements at Master BRD level.</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Req ID</w:t>
            </w:r>
          </w:p>
        </w:tc>
        <w:tc>
          <w:tcPr>
            <w:tcW w:type="dxa" w:w="2256"/>
          </w:tcPr>
          <w:p>
            <w:r>
              <w:t>Requirement</w:t>
            </w:r>
          </w:p>
        </w:tc>
        <w:tc>
          <w:tcPr>
            <w:tcW w:type="dxa" w:w="2256"/>
          </w:tcPr>
          <w:p>
            <w:r>
              <w:t>Priority</w:t>
            </w:r>
          </w:p>
        </w:tc>
        <w:tc>
          <w:tcPr>
            <w:tcW w:type="dxa" w:w="2256"/>
          </w:tcPr>
          <w:p>
            <w:r>
              <w:t>Notes</w:t>
            </w:r>
          </w:p>
        </w:tc>
      </w:tr>
      <w:tr>
        <w:tc>
          <w:tcPr>
            <w:tcW w:type="dxa" w:w="2256"/>
          </w:tcPr>
          <w:p>
            <w:r>
              <w:t>CCID-001</w:t>
            </w:r>
          </w:p>
        </w:tc>
        <w:tc>
          <w:tcPr>
            <w:tcW w:type="dxa" w:w="2256"/>
          </w:tcPr>
          <w:p>
            <w:r>
              <w:t>Requesters must be able to create a new Activity ID with name, description, start date, and end date.</w:t>
            </w:r>
          </w:p>
        </w:tc>
        <w:tc>
          <w:tcPr>
            <w:tcW w:type="dxa" w:w="2256"/>
          </w:tcPr>
          <w:p>
            <w:r>
              <w:t>Must Have</w:t>
            </w:r>
          </w:p>
        </w:tc>
        <w:tc>
          <w:tcPr>
            <w:tcW w:type="dxa" w:w="2256"/>
          </w:tcPr>
          <w:p>
            <w:r>
              <w:t>Detail in Activity ID companion doc.</w:t>
            </w:r>
          </w:p>
        </w:tc>
      </w:tr>
      <w:tr>
        <w:tc>
          <w:tcPr>
            <w:tcW w:type="dxa" w:w="2256"/>
          </w:tcPr>
          <w:p>
            <w:r>
              <w:t>CCID-002</w:t>
            </w:r>
          </w:p>
        </w:tc>
        <w:tc>
          <w:tcPr>
            <w:tcW w:type="dxa" w:w="2256"/>
          </w:tcPr>
          <w:p>
            <w:r>
              <w:t>Activity ID requests must capture Campaign, Program, and Primary Technology according to approved hierarchy validation rules.</w:t>
            </w:r>
          </w:p>
        </w:tc>
        <w:tc>
          <w:tcPr>
            <w:tcW w:type="dxa" w:w="2256"/>
          </w:tcPr>
          <w:p>
            <w:r>
              <w:t>Must Have</w:t>
            </w:r>
          </w:p>
        </w:tc>
        <w:tc>
          <w:tcPr>
            <w:tcW w:type="dxa" w:w="2256"/>
          </w:tcPr>
          <w:p>
            <w:r>
              <w:t>Paths A/B/C matrices in companion doc.</w:t>
            </w:r>
          </w:p>
        </w:tc>
      </w:tr>
      <w:tr>
        <w:tc>
          <w:tcPr>
            <w:tcW w:type="dxa" w:w="2256"/>
          </w:tcPr>
          <w:p>
            <w:r>
              <w:t>CCID-003</w:t>
            </w:r>
          </w:p>
        </w:tc>
        <w:tc>
          <w:tcPr>
            <w:tcW w:type="dxa" w:w="2256"/>
          </w:tcPr>
          <w:p>
            <w:r>
              <w:t>Requesters must select Activity Type (Event, Webinar, Driving Channel URL) to support correct attribution treatment.</w:t>
            </w:r>
          </w:p>
        </w:tc>
        <w:tc>
          <w:tcPr>
            <w:tcW w:type="dxa" w:w="2256"/>
          </w:tcPr>
          <w:p>
            <w:r>
              <w:t>Must Have</w:t>
            </w:r>
          </w:p>
        </w:tc>
        <w:tc>
          <w:tcPr>
            <w:tcW w:type="dxa" w:w="2256"/>
          </w:tcPr>
          <w:p>
            <w:r>
              <w:t>Event/Webinar must be excludable from channel attribution double-count.</w:t>
            </w:r>
          </w:p>
        </w:tc>
      </w:tr>
      <w:tr>
        <w:tc>
          <w:tcPr>
            <w:tcW w:type="dxa" w:w="2256"/>
          </w:tcPr>
          <w:p>
            <w:r>
              <w:t>CCID-004</w:t>
            </w:r>
          </w:p>
        </w:tc>
        <w:tc>
          <w:tcPr>
            <w:tcW w:type="dxa" w:w="2256"/>
          </w:tcPr>
          <w:p>
            <w:r>
              <w:t>Requesters must be able to update an existing Activity ID; changes to Campaign must re-apply hierarchy validation.</w:t>
            </w:r>
          </w:p>
        </w:tc>
        <w:tc>
          <w:tcPr>
            <w:tcW w:type="dxa" w:w="2256"/>
          </w:tcPr>
          <w:p>
            <w:r>
              <w:t>Must Have</w:t>
            </w:r>
          </w:p>
        </w:tc>
        <w:tc>
          <w:tcPr>
            <w:tcW w:type="dxa" w:w="2256"/>
          </w:tcPr>
          <w:p>
            <w:r/>
          </w:p>
        </w:tc>
      </w:tr>
      <w:tr>
        <w:tc>
          <w:tcPr>
            <w:tcW w:type="dxa" w:w="2256"/>
          </w:tcPr>
          <w:p>
            <w:r>
              <w:t>CCID-005</w:t>
            </w:r>
          </w:p>
        </w:tc>
        <w:tc>
          <w:tcPr>
            <w:tcW w:type="dxa" w:w="2256"/>
          </w:tcPr>
          <w:p>
            <w:r>
              <w:t>Requesters must be able to submit bulk Activity ID requests with the same validation rules as single requests.</w:t>
            </w:r>
          </w:p>
        </w:tc>
        <w:tc>
          <w:tcPr>
            <w:tcW w:type="dxa" w:w="2256"/>
          </w:tcPr>
          <w:p>
            <w:r>
              <w:t>Must Have</w:t>
            </w:r>
          </w:p>
        </w:tc>
        <w:tc>
          <w:tcPr>
            <w:tcW w:type="dxa" w:w="2256"/>
          </w:tcPr>
          <w:p>
            <w:r/>
          </w:p>
        </w:tc>
      </w:tr>
      <w:tr>
        <w:tc>
          <w:tcPr>
            <w:tcW w:type="dxa" w:w="2256"/>
          </w:tcPr>
          <w:p>
            <w:r>
              <w:t>CCID-006</w:t>
            </w:r>
          </w:p>
        </w:tc>
        <w:tc>
          <w:tcPr>
            <w:tcW w:type="dxa" w:w="2256"/>
          </w:tcPr>
          <w:p>
            <w:r>
              <w:t>Created Activity IDs must be persisted and made available to downstream reporting systems (OMS) without manual intervention.</w:t>
            </w:r>
          </w:p>
        </w:tc>
        <w:tc>
          <w:tcPr>
            <w:tcW w:type="dxa" w:w="2256"/>
          </w:tcPr>
          <w:p>
            <w:r>
              <w:t>Must Have</w:t>
            </w:r>
          </w:p>
        </w:tc>
        <w:tc>
          <w:tcPr>
            <w:tcW w:type="dxa" w:w="2256"/>
          </w:tcPr>
          <w:p>
            <w:r/>
          </w:p>
        </w:tc>
      </w:tr>
    </w:tbl>
    <w:p>
      <w:pPr>
        <w:pStyle w:val="Heading2"/>
      </w:pPr>
      <w:r>
        <w:t>4.3 Offer ID Requirements</w:t>
      </w:r>
    </w:p>
    <w:p>
      <w:r>
        <w:t>[TO BE ADDED — Offer ID create, update, and bulk requirements will be documented in a subsequent BRD amendment or companion section. Cross-reference OID-* requirement IDs reserved.]</w:t>
      </w:r>
    </w:p>
    <w:p>
      <w:pPr>
        <w:pStyle w:val="ListBullet"/>
      </w:pPr>
      <w:r>
        <w:t>Placeholder: OID-001 — Requesters must be able to create a new Offer ID with required strategic metadata. [Detail TBD]</w:t>
      </w:r>
    </w:p>
    <w:p>
      <w:pPr>
        <w:pStyle w:val="ListBullet"/>
      </w:pPr>
      <w:r>
        <w:t>Placeholder: OID-002 — Requesters must be able to update an existing Offer ID. [Detail TBD]</w:t>
      </w:r>
    </w:p>
    <w:p>
      <w:pPr>
        <w:pStyle w:val="ListBullet"/>
      </w:pPr>
      <w:r>
        <w:t>Placeholder: OID-003 — Requesters must be able to submit bulk Offer ID requests. [Detail TBD]</w:t>
      </w:r>
    </w:p>
    <w:p>
      <w:pPr>
        <w:pStyle w:val="Heading2"/>
      </w:pPr>
      <w:r>
        <w:t>4.4 Future State — Workfront Channel &amp; Content IDs</w:t>
      </w:r>
    </w:p>
    <w:p>
      <w:r>
        <w:t>When the CTT Tool is decommissioned, the business will rely on Workfront-native Channel and Content IDs instead of legacy Activity and Offer IDs. This Master BRD establishes the following future-proofing requirement; detailed requirements will be documented separately to avoid conflating hybrid-period and target-state scope.</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Req ID</w:t>
            </w:r>
          </w:p>
        </w:tc>
        <w:tc>
          <w:tcPr>
            <w:tcW w:type="dxa" w:w="2256"/>
          </w:tcPr>
          <w:p>
            <w:r>
              <w:t>Requirement</w:t>
            </w:r>
          </w:p>
        </w:tc>
        <w:tc>
          <w:tcPr>
            <w:tcW w:type="dxa" w:w="2256"/>
          </w:tcPr>
          <w:p>
            <w:r>
              <w:t>Priority</w:t>
            </w:r>
          </w:p>
        </w:tc>
        <w:tc>
          <w:tcPr>
            <w:tcW w:type="dxa" w:w="2256"/>
          </w:tcPr>
          <w:p>
            <w:r>
              <w:t>Notes</w:t>
            </w:r>
          </w:p>
        </w:tc>
      </w:tr>
      <w:tr>
        <w:tc>
          <w:tcPr>
            <w:tcW w:type="dxa" w:w="2256"/>
          </w:tcPr>
          <w:p>
            <w:r>
              <w:t>REQ-CTT-WF-CHC-001</w:t>
            </w:r>
          </w:p>
        </w:tc>
        <w:tc>
          <w:tcPr>
            <w:tcW w:type="dxa" w:w="2256"/>
          </w:tcPr>
          <w:p>
            <w:r>
              <w:t>The intake capability relocated from the CTT Request Portal must be extensible to support standalone Channel ID and Content ID requests without dependency on the CTT Tool.</w:t>
            </w:r>
          </w:p>
        </w:tc>
        <w:tc>
          <w:tcPr>
            <w:tcW w:type="dxa" w:w="2256"/>
          </w:tcPr>
          <w:p>
            <w:r>
              <w:t>Must Have</w:t>
            </w:r>
          </w:p>
        </w:tc>
        <w:tc>
          <w:tcPr>
            <w:tcW w:type="dxa" w:w="2256"/>
          </w:tcPr>
          <w:p>
            <w:r>
              <w:t>Detailed requirements: separate companion document [TBD].</w:t>
            </w:r>
          </w:p>
        </w:tc>
      </w:tr>
      <w:tr>
        <w:tc>
          <w:tcPr>
            <w:tcW w:type="dxa" w:w="2256"/>
          </w:tcPr>
          <w:p>
            <w:r>
              <w:t>REQ-CTT-WF-CHC-002</w:t>
            </w:r>
          </w:p>
        </w:tc>
        <w:tc>
          <w:tcPr>
            <w:tcW w:type="dxa" w:w="2256"/>
          </w:tcPr>
          <w:p>
            <w:r>
              <w:t>Future Channel/Content ID intake must capture equivalent strategic metadata needed for reporting and governance parity with legacy identifiers.</w:t>
            </w:r>
          </w:p>
        </w:tc>
        <w:tc>
          <w:tcPr>
            <w:tcW w:type="dxa" w:w="2256"/>
          </w:tcPr>
          <w:p>
            <w:r>
              <w:t>Should Have</w:t>
            </w:r>
          </w:p>
        </w:tc>
        <w:tc>
          <w:tcPr>
            <w:tcW w:type="dxa" w:w="2256"/>
          </w:tcPr>
          <w:p>
            <w:r>
              <w:t>Metadata mapping TBD in future-state doc.</w:t>
            </w:r>
          </w:p>
        </w:tc>
      </w:tr>
      <w:tr>
        <w:tc>
          <w:tcPr>
            <w:tcW w:type="dxa" w:w="2256"/>
          </w:tcPr>
          <w:p>
            <w:r>
              <w:t>REQ-CTT-WF-CHC-003</w:t>
            </w:r>
          </w:p>
        </w:tc>
        <w:tc>
          <w:tcPr>
            <w:tcW w:type="dxa" w:w="2256"/>
          </w:tcPr>
          <w:p>
            <w:r>
              <w:t>The business must maintain a documented transition plan from legacy to Workfront-native identifiers, including dual-running period if required.</w:t>
            </w:r>
          </w:p>
        </w:tc>
        <w:tc>
          <w:tcPr>
            <w:tcW w:type="dxa" w:w="2256"/>
          </w:tcPr>
          <w:p>
            <w:r>
              <w:t>Must Have</w:t>
            </w:r>
          </w:p>
        </w:tc>
        <w:tc>
          <w:tcPr>
            <w:tcW w:type="dxa" w:w="2256"/>
          </w:tcPr>
          <w:p>
            <w:r>
              <w:t>Programme dependency outside this BRD scope.</w:t>
            </w:r>
          </w:p>
        </w:tc>
      </w:tr>
    </w:tbl>
    <w:p>
      <w:pPr>
        <w:pStyle w:val="Heading2"/>
      </w:pPr>
      <w:r>
        <w:t>4.5 Reporting &amp; Data Quality</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Req ID</w:t>
            </w:r>
          </w:p>
        </w:tc>
        <w:tc>
          <w:tcPr>
            <w:tcW w:type="dxa" w:w="2256"/>
          </w:tcPr>
          <w:p>
            <w:r>
              <w:t>Requirement</w:t>
            </w:r>
          </w:p>
        </w:tc>
        <w:tc>
          <w:tcPr>
            <w:tcW w:type="dxa" w:w="2256"/>
          </w:tcPr>
          <w:p>
            <w:r>
              <w:t>Priority</w:t>
            </w:r>
          </w:p>
        </w:tc>
        <w:tc>
          <w:tcPr>
            <w:tcW w:type="dxa" w:w="2256"/>
          </w:tcPr>
          <w:p>
            <w:r>
              <w:t>Notes</w:t>
            </w:r>
          </w:p>
        </w:tc>
      </w:tr>
      <w:tr>
        <w:tc>
          <w:tcPr>
            <w:tcW w:type="dxa" w:w="2256"/>
          </w:tcPr>
          <w:p>
            <w:r>
              <w:t>REQ-CTT-WF-RPT-001</w:t>
            </w:r>
          </w:p>
        </w:tc>
        <w:tc>
          <w:tcPr>
            <w:tcW w:type="dxa" w:w="2256"/>
          </w:tcPr>
          <w:p>
            <w:r>
              <w:t>All standalone identifier requests must capture mandatory strategic metadata before identifier generation is complete.</w:t>
            </w:r>
          </w:p>
        </w:tc>
        <w:tc>
          <w:tcPr>
            <w:tcW w:type="dxa" w:w="2256"/>
          </w:tcPr>
          <w:p>
            <w:r>
              <w:t>Must Have</w:t>
            </w:r>
          </w:p>
        </w:tc>
        <w:tc>
          <w:tcPr>
            <w:tcW w:type="dxa" w:w="2256"/>
          </w:tcPr>
          <w:p>
            <w:r/>
          </w:p>
        </w:tc>
      </w:tr>
      <w:tr>
        <w:tc>
          <w:tcPr>
            <w:tcW w:type="dxa" w:w="2256"/>
          </w:tcPr>
          <w:p>
            <w:r>
              <w:t>REQ-CTT-WF-RPT-002</w:t>
            </w:r>
          </w:p>
        </w:tc>
        <w:tc>
          <w:tcPr>
            <w:tcW w:type="dxa" w:w="2256"/>
          </w:tcPr>
          <w:p>
            <w:r>
              <w:t>Activity IDs with Activity Type Event or Webinar must be identifiable in downstream systems for attribution exclusion from channel double-counting.</w:t>
            </w:r>
          </w:p>
        </w:tc>
        <w:tc>
          <w:tcPr>
            <w:tcW w:type="dxa" w:w="2256"/>
          </w:tcPr>
          <w:p>
            <w:r>
              <w:t>Must Have</w:t>
            </w:r>
          </w:p>
        </w:tc>
        <w:tc>
          <w:tcPr>
            <w:tcW w:type="dxa" w:w="2256"/>
          </w:tcPr>
          <w:p>
            <w:r/>
          </w:p>
        </w:tc>
      </w:tr>
      <w:tr>
        <w:tc>
          <w:tcPr>
            <w:tcW w:type="dxa" w:w="2256"/>
          </w:tcPr>
          <w:p>
            <w:r>
              <w:t>REQ-CTT-WF-RPT-003</w:t>
            </w:r>
          </w:p>
        </w:tc>
        <w:tc>
          <w:tcPr>
            <w:tcW w:type="dxa" w:w="2256"/>
          </w:tcPr>
          <w:p>
            <w:r>
              <w:t>Identifier and metadata records must continue to flow to OMS/reporting with no data loss during portal decommission and intake migration.</w:t>
            </w:r>
          </w:p>
        </w:tc>
        <w:tc>
          <w:tcPr>
            <w:tcW w:type="dxa" w:w="2256"/>
          </w:tcPr>
          <w:p>
            <w:r>
              <w:t>Must Have</w:t>
            </w:r>
          </w:p>
        </w:tc>
        <w:tc>
          <w:tcPr>
            <w:tcW w:type="dxa" w:w="2256"/>
          </w:tcPr>
          <w:p>
            <w:r/>
          </w:p>
        </w:tc>
      </w:tr>
    </w:tbl>
    <w:p>
      <w:pPr>
        <w:pStyle w:val="Heading2"/>
      </w:pPr>
      <w:r>
        <w:t>4.6 Platform Decommission &amp; Transition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Req ID</w:t>
            </w:r>
          </w:p>
        </w:tc>
        <w:tc>
          <w:tcPr>
            <w:tcW w:type="dxa" w:w="2256"/>
          </w:tcPr>
          <w:p>
            <w:r>
              <w:t>Requirement</w:t>
            </w:r>
          </w:p>
        </w:tc>
        <w:tc>
          <w:tcPr>
            <w:tcW w:type="dxa" w:w="2256"/>
          </w:tcPr>
          <w:p>
            <w:r>
              <w:t>Priority</w:t>
            </w:r>
          </w:p>
        </w:tc>
        <w:tc>
          <w:tcPr>
            <w:tcW w:type="dxa" w:w="2256"/>
          </w:tcPr>
          <w:p>
            <w:r>
              <w:t>Notes</w:t>
            </w:r>
          </w:p>
        </w:tc>
      </w:tr>
      <w:tr>
        <w:tc>
          <w:tcPr>
            <w:tcW w:type="dxa" w:w="2256"/>
          </w:tcPr>
          <w:p>
            <w:r>
              <w:t>REQ-CTT-WF-PLT-001</w:t>
            </w:r>
          </w:p>
        </w:tc>
        <w:tc>
          <w:tcPr>
            <w:tcW w:type="dxa" w:w="2256"/>
          </w:tcPr>
          <w:p>
            <w:r>
              <w:t>The CTT Request Portal must be decommissioned by [TBD date] with a communicated cutover to the new intake path.</w:t>
            </w:r>
          </w:p>
        </w:tc>
        <w:tc>
          <w:tcPr>
            <w:tcW w:type="dxa" w:w="2256"/>
          </w:tcPr>
          <w:p>
            <w:r>
              <w:t>Must Have</w:t>
            </w:r>
          </w:p>
        </w:tc>
        <w:tc>
          <w:tcPr>
            <w:tcW w:type="dxa" w:w="2256"/>
          </w:tcPr>
          <w:p>
            <w:r/>
          </w:p>
        </w:tc>
      </w:tr>
      <w:tr>
        <w:tc>
          <w:tcPr>
            <w:tcW w:type="dxa" w:w="2256"/>
          </w:tcPr>
          <w:p>
            <w:r>
              <w:t>REQ-CTT-WF-PLT-002</w:t>
            </w:r>
          </w:p>
        </w:tc>
        <w:tc>
          <w:tcPr>
            <w:tcW w:type="dxa" w:w="2256"/>
          </w:tcPr>
          <w:p>
            <w:r>
              <w:t>The business must provide requester communications and enablement before cutover.</w:t>
            </w:r>
          </w:p>
        </w:tc>
        <w:tc>
          <w:tcPr>
            <w:tcW w:type="dxa" w:w="2256"/>
          </w:tcPr>
          <w:p>
            <w:r>
              <w:t>Must Have</w:t>
            </w:r>
          </w:p>
        </w:tc>
        <w:tc>
          <w:tcPr>
            <w:tcW w:type="dxa" w:w="2256"/>
          </w:tcPr>
          <w:p>
            <w:r/>
          </w:p>
        </w:tc>
      </w:tr>
      <w:tr>
        <w:tc>
          <w:tcPr>
            <w:tcW w:type="dxa" w:w="2256"/>
          </w:tcPr>
          <w:p>
            <w:r>
              <w:t>REQ-CTT-WF-PLT-003</w:t>
            </w:r>
          </w:p>
        </w:tc>
        <w:tc>
          <w:tcPr>
            <w:tcW w:type="dxa" w:w="2256"/>
          </w:tcPr>
          <w:p>
            <w:r>
              <w:t>In-flight requests at cutover must be handled according to an agreed transition policy. [TBD]</w:t>
            </w:r>
          </w:p>
        </w:tc>
        <w:tc>
          <w:tcPr>
            <w:tcW w:type="dxa" w:w="2256"/>
          </w:tcPr>
          <w:p>
            <w:r>
              <w:t>Should Have</w:t>
            </w:r>
          </w:p>
        </w:tc>
        <w:tc>
          <w:tcPr>
            <w:tcW w:type="dxa" w:w="2256"/>
          </w:tcPr>
          <w:p>
            <w:r/>
          </w:p>
        </w:tc>
      </w:tr>
    </w:tbl>
    <w:p>
      <w:pPr>
        <w:pStyle w:val="Heading1"/>
      </w:pPr>
      <w:r>
        <w:t>5. Use Cases (User Stories)</w:t>
      </w:r>
    </w:p>
    <w:p>
      <w:r>
        <w:t>Use cases are written in the format: As a [role], I want [goal], so that [benefit].</w:t>
      </w:r>
    </w:p>
    <w:p>
      <w:r>
        <w:t>UC-001: As a Marketing practitioner, I want to submit a standalone Activity ID request through the supported marketing intake path, so that I can tag campaigns and track performance when I am not creating a Workfront project.</w:t>
      </w:r>
    </w:p>
    <w:p>
      <w:r>
        <w:t>UC-002: As a Marketing practitioner, I want to be told that I do not need a standalone identifier request when I plan to create a Workfront marketing project, so that I avoid duplicate effort and receive identifiers through the project workflow.</w:t>
      </w:r>
    </w:p>
    <w:p>
      <w:r>
        <w:t>UC-003: As a Marketing practitioner, I want to choose whether I need a legacy identifier or a Workfront-native identifier, so that I request the correct ID type for my initiative during the hybrid tracking period.</w:t>
      </w:r>
    </w:p>
    <w:p>
      <w:r>
        <w:t>UC-004: As a Marketing practitioner, I want to create, update, or bulk-submit Activity ID requests, so that I can manage identifiers efficiently for single and multi-row scenarios.</w:t>
      </w:r>
    </w:p>
    <w:p>
      <w:r>
        <w:t>UC-005: As a Marketing practitioner, I want to provide campaign hierarchy information (Campaign, Program, Technology) with guided validation, so that my Activity ID is aligned to FY27 strategic taxonomy and passes governance rules.</w:t>
      </w:r>
    </w:p>
    <w:p>
      <w:r>
        <w:t>UC-006: As a Marketing practitioner, I want to specify Activity Type (Event, Webinar, or Driving Channel URL), so that reporting correctly treats my identifier in the attribution model.</w:t>
      </w:r>
    </w:p>
    <w:p>
      <w:r>
        <w:t>UC-007: As a Marketing practitioner, I want to capture stakeholder, funnel stage, marketing initiative, and region on every standalone request, so that reporting and governance have complete strategic context.</w:t>
      </w:r>
    </w:p>
    <w:p>
      <w:r>
        <w:t>UC-008: As a Reporting analyst, I want to receive Activity ID records with complete mandatory metadata in OMS, so that I can produce accurate campaign performance and attribution reports.</w:t>
      </w:r>
    </w:p>
    <w:p>
      <w:r>
        <w:t>UC-009: As a Reporting analyst, I want to identify Event and Webinar Activity IDs separately from Driving Channel URL IDs, so that I can exclude identifiers that would double-count with Event ID or Offer ID attribution.</w:t>
      </w:r>
    </w:p>
    <w:p>
      <w:r>
        <w:t>UC-010: As a Business Capability Owner, I want to own intake requirements without prescriptive solution design in the BRD, so that I can implement the capability in Workfront in the manner best suited to my tool and team.</w:t>
      </w:r>
    </w:p>
    <w:p>
      <w:r>
        <w:t>UC-011: As a Platform owner, I want to decommission the CTT Request Portal on schedule, so that we reduce legacy infrastructure risk and Web Engineering dependency.</w:t>
      </w:r>
    </w:p>
    <w:p>
      <w:r>
        <w:t>UC-012: As a Marketing operations, I want to extend intake for Offer ID requests in a future release, so that teams can request all legacy identifier types from one capability [FUTURE — Offer ID section TBD].</w:t>
      </w:r>
    </w:p>
    <w:p>
      <w:r>
        <w:t>UC-013: As a Marketing operations, I want to extend intake for Channel and Content IDs after CTT Tool decommission, so that teams can request Workfront-native identifiers without returning to legacy tools [FUTURE — separate document].</w:t>
      </w:r>
    </w:p>
    <w:p>
      <w:pPr>
        <w:pStyle w:val="Heading1"/>
      </w:pPr>
      <w:r>
        <w:t>6. Key Responsibilities &amp; Deliverables</w:t>
      </w:r>
    </w:p>
    <w:tbl>
      <w:tblPr>
        <w:tblStyle w:val="TableGrid"/>
        <w:tblW w:type="auto" w:w="0"/>
        <w:tblLook w:firstColumn="1" w:firstRow="1" w:lastColumn="0" w:lastRow="0" w:noHBand="0" w:noVBand="1" w:val="04A0"/>
      </w:tblPr>
      <w:tblGrid>
        <w:gridCol w:w="3009"/>
        <w:gridCol w:w="3009"/>
        <w:gridCol w:w="3009"/>
      </w:tblGrid>
      <w:tr>
        <w:tc>
          <w:tcPr>
            <w:tcW w:type="dxa" w:w="3009"/>
          </w:tcPr>
          <w:p>
            <w:r>
              <w:t>Team</w:t>
            </w:r>
          </w:p>
        </w:tc>
        <w:tc>
          <w:tcPr>
            <w:tcW w:type="dxa" w:w="3009"/>
          </w:tcPr>
          <w:p>
            <w:r>
              <w:t>Key Responsibilities &amp; Deliverables</w:t>
            </w:r>
          </w:p>
        </w:tc>
        <w:tc>
          <w:tcPr>
            <w:tcW w:type="dxa" w:w="3009"/>
          </w:tcPr>
          <w:p>
            <w:r>
              <w:t>Primary BRD References</w:t>
            </w:r>
          </w:p>
        </w:tc>
      </w:tr>
      <w:tr>
        <w:tc>
          <w:tcPr>
            <w:tcW w:type="dxa" w:w="3009"/>
          </w:tcPr>
          <w:p>
            <w:r>
              <w:t>BCO (Workfront)</w:t>
            </w:r>
          </w:p>
        </w:tc>
        <w:tc>
          <w:tcPr>
            <w:tcW w:type="dxa" w:w="3009"/>
          </w:tcPr>
          <w:p>
            <w:r>
              <w:t>Own intake capability design and implementation in Workfront; confirm UX and automation approach.</w:t>
            </w:r>
          </w:p>
        </w:tc>
        <w:tc>
          <w:tcPr>
            <w:tcW w:type="dxa" w:w="3009"/>
          </w:tcPr>
          <w:p>
            <w:r>
              <w:t>Section 4 — all CCID-* and OID-* (solution design out of scope for BRD)</w:t>
            </w:r>
          </w:p>
        </w:tc>
      </w:tr>
      <w:tr>
        <w:tc>
          <w:tcPr>
            <w:tcW w:type="dxa" w:w="3009"/>
          </w:tcPr>
          <w:p>
            <w:r>
              <w:t>Marketing / GTMPR</w:t>
            </w:r>
          </w:p>
        </w:tc>
        <w:tc>
          <w:tcPr>
            <w:tcW w:type="dxa" w:w="3009"/>
          </w:tcPr>
          <w:p>
            <w:r>
              <w:t>Maintain campaign hierarchy lists and validation rules; approve metadata requirements.</w:t>
            </w:r>
          </w:p>
        </w:tc>
        <w:tc>
          <w:tcPr>
            <w:tcW w:type="dxa" w:w="3009"/>
          </w:tcPr>
          <w:p>
            <w:r>
              <w:t>CCID-002, REQ-CTT-WF-INT-008</w:t>
            </w:r>
          </w:p>
        </w:tc>
      </w:tr>
      <w:tr>
        <w:tc>
          <w:tcPr>
            <w:tcW w:type="dxa" w:w="3009"/>
          </w:tcPr>
          <w:p>
            <w:r>
              <w:t>Reporting / SIIA</w:t>
            </w:r>
          </w:p>
        </w:tc>
        <w:tc>
          <w:tcPr>
            <w:tcW w:type="dxa" w:w="3009"/>
          </w:tcPr>
          <w:p>
            <w:r>
              <w:t>Validate downstream data continuity and attribution rules.</w:t>
            </w:r>
          </w:p>
        </w:tc>
        <w:tc>
          <w:tcPr>
            <w:tcW w:type="dxa" w:w="3009"/>
          </w:tcPr>
          <w:p>
            <w:r>
              <w:t>REQ-CTT-WF-RPT-*</w:t>
            </w:r>
          </w:p>
        </w:tc>
      </w:tr>
      <w:tr>
        <w:tc>
          <w:tcPr>
            <w:tcW w:type="dxa" w:w="3009"/>
          </w:tcPr>
          <w:p>
            <w:r>
              <w:t>CTT / Integration team</w:t>
            </w:r>
          </w:p>
        </w:tc>
        <w:tc>
          <w:tcPr>
            <w:tcW w:type="dxa" w:w="3009"/>
          </w:tcPr>
          <w:p>
            <w:r>
              <w:t>Ensure identifier generation and OMS feed continue during migration.</w:t>
            </w:r>
          </w:p>
        </w:tc>
        <w:tc>
          <w:tcPr>
            <w:tcW w:type="dxa" w:w="3009"/>
          </w:tcPr>
          <w:p>
            <w:r>
              <w:t>CCID-006, REQ-CTT-WF-RPT-003</w:t>
            </w:r>
          </w:p>
        </w:tc>
      </w:tr>
      <w:tr>
        <w:tc>
          <w:tcPr>
            <w:tcW w:type="dxa" w:w="3009"/>
          </w:tcPr>
          <w:p>
            <w:r>
              <w:t>Web Engineering</w:t>
            </w:r>
          </w:p>
        </w:tc>
        <w:tc>
          <w:tcPr>
            <w:tcW w:type="dxa" w:w="3009"/>
          </w:tcPr>
          <w:p>
            <w:r>
              <w:t>Execute CTT Request Portal decommission per cutover plan.</w:t>
            </w:r>
          </w:p>
        </w:tc>
        <w:tc>
          <w:tcPr>
            <w:tcW w:type="dxa" w:w="3009"/>
          </w:tcPr>
          <w:p>
            <w:r>
              <w:t>REQ-CTT-WF-PLT-001</w:t>
            </w:r>
          </w:p>
        </w:tc>
      </w:tr>
      <w:tr>
        <w:tc>
          <w:tcPr>
            <w:tcW w:type="dxa" w:w="3009"/>
          </w:tcPr>
          <w:p>
            <w:r>
              <w:t>Document author / PM</w:t>
            </w:r>
          </w:p>
        </w:tc>
        <w:tc>
          <w:tcPr>
            <w:tcW w:type="dxa" w:w="3009"/>
          </w:tcPr>
          <w:p>
            <w:r>
              <w:t>Maintain Master BRD; add Offer ID section; coordinate future-state companion doc.</w:t>
            </w:r>
          </w:p>
        </w:tc>
        <w:tc>
          <w:tcPr>
            <w:tcW w:type="dxa" w:w="3009"/>
          </w:tcPr>
          <w:p>
            <w:r>
              <w:t>Sections 4.3, 4.4</w:t>
            </w:r>
          </w:p>
        </w:tc>
      </w:tr>
    </w:tbl>
    <w:p>
      <w:pPr>
        <w:pStyle w:val="Heading1"/>
      </w:pPr>
      <w:r>
        <w:t>7. Appendix</w:t>
      </w:r>
    </w:p>
    <w:p>
      <w:pPr>
        <w:pStyle w:val="Heading2"/>
      </w:pPr>
      <w:r>
        <w:t>Related &amp; Companion Documents</w:t>
      </w:r>
    </w:p>
    <w:p>
      <w:pPr>
        <w:pStyle w:val="ListBullet"/>
      </w:pPr>
      <w:r>
        <w:t>CTT Request Portal move to Workfront - Activity ID.docx — Detailed Activity ID field requirements, conditional logic, and validation matrices.</w:t>
      </w:r>
    </w:p>
    <w:p>
      <w:pPr>
        <w:pStyle w:val="ListBullet"/>
      </w:pPr>
      <w:r>
        <w:t>[TBD] CTT Request Portal move to Workfront - Offer ID.docx — Offer ID requirements (to be created).</w:t>
      </w:r>
    </w:p>
    <w:p>
      <w:pPr>
        <w:pStyle w:val="ListBullet"/>
      </w:pPr>
      <w:r>
        <w:t>[TBD] Workfront Channel &amp; Content ID Intake Requirements.docx — Future-state requirements after CTT Tool decommission.</w:t>
      </w:r>
    </w:p>
    <w:p>
      <w:pPr>
        <w:pStyle w:val="ListBullet"/>
      </w:pPr>
      <w:r>
        <w:t>FY27 Campaign &amp; Program Entry Validation.xlsx — Campaign hierarchy validation reference.</w:t>
      </w:r>
    </w:p>
    <w:p>
      <w:pPr>
        <w:pStyle w:val="Heading2"/>
      </w:pPr>
      <w:r>
        <w:t>Open Items / TBD</w:t>
      </w:r>
    </w:p>
    <w:p>
      <w:pPr>
        <w:pStyle w:val="ListBullet"/>
      </w:pPr>
      <w:r>
        <w:t>Cutover date for CTT Request Portal decommission.</w:t>
      </w:r>
    </w:p>
    <w:p>
      <w:pPr>
        <w:pStyle w:val="ListBullet"/>
      </w:pPr>
      <w:r>
        <w:t>Success metric targets (adoption %, data quality %).</w:t>
      </w:r>
    </w:p>
    <w:p>
      <w:pPr>
        <w:pStyle w:val="ListBullet"/>
      </w:pPr>
      <w:r>
        <w:t>Offer ID detailed requirements — owner and target date for BRD amendment.</w:t>
      </w:r>
    </w:p>
    <w:p>
      <w:pPr>
        <w:pStyle w:val="ListBullet"/>
      </w:pPr>
      <w:r>
        <w:t>Future-state Channel/Content ID companion document — owner and target date.</w:t>
      </w:r>
    </w:p>
    <w:p>
      <w:pPr>
        <w:pStyle w:val="ListBullet"/>
      </w:pPr>
      <w:r>
        <w:t>In-flight request handling policy at cutover.</w:t>
      </w:r>
    </w:p>
    <w:p>
      <w:pPr>
        <w:pStyle w:val="ListBullet"/>
      </w:pPr>
      <w:r>
        <w:t>Confirm whether auto-populated Program/Technology fields are editable in v1 (see Activity ID companion doc).</w:t>
      </w:r>
    </w:p>
    <w:p>
      <w:pPr>
        <w:pStyle w:val="Heading1"/>
      </w:pPr>
      <w:r>
        <w:t>8. Glossary of Terms</w:t>
      </w:r>
    </w:p>
    <w:tbl>
      <w:tblPr>
        <w:tblStyle w:val="TableGrid"/>
        <w:tblW w:type="auto" w:w="0"/>
        <w:tblLook w:firstColumn="1" w:firstRow="1" w:lastColumn="0" w:lastRow="0" w:noHBand="0" w:noVBand="1" w:val="04A0"/>
      </w:tblPr>
      <w:tblGrid>
        <w:gridCol w:w="4513"/>
        <w:gridCol w:w="4513"/>
      </w:tblGrid>
      <w:tr>
        <w:tc>
          <w:tcPr>
            <w:tcW w:type="dxa" w:w="4513"/>
          </w:tcPr>
          <w:p>
            <w:r>
              <w:t>Acronym</w:t>
            </w:r>
          </w:p>
        </w:tc>
        <w:tc>
          <w:tcPr>
            <w:tcW w:type="dxa" w:w="4513"/>
          </w:tcPr>
          <w:p>
            <w:r>
              <w:t>Description</w:t>
            </w:r>
          </w:p>
        </w:tc>
      </w:tr>
      <w:tr>
        <w:tc>
          <w:tcPr>
            <w:tcW w:type="dxa" w:w="4513"/>
          </w:tcPr>
          <w:p>
            <w:r>
              <w:t>SLA</w:t>
            </w:r>
          </w:p>
        </w:tc>
        <w:tc>
          <w:tcPr>
            <w:tcW w:type="dxa" w:w="4513"/>
          </w:tcPr>
          <w:p>
            <w:r>
              <w:t>Service Level Agreement</w:t>
            </w:r>
          </w:p>
        </w:tc>
      </w:tr>
      <w:tr>
        <w:tc>
          <w:tcPr>
            <w:tcW w:type="dxa" w:w="4513"/>
          </w:tcPr>
          <w:p>
            <w:r>
              <w:t>KPI</w:t>
            </w:r>
          </w:p>
        </w:tc>
        <w:tc>
          <w:tcPr>
            <w:tcW w:type="dxa" w:w="4513"/>
          </w:tcPr>
          <w:p>
            <w:r>
              <w:t>Key Performance Indicators</w:t>
            </w:r>
          </w:p>
        </w:tc>
      </w:tr>
      <w:tr>
        <w:tc>
          <w:tcPr>
            <w:tcW w:type="dxa" w:w="4513"/>
          </w:tcPr>
          <w:p>
            <w:r>
              <w:t>UTM</w:t>
            </w:r>
          </w:p>
        </w:tc>
        <w:tc>
          <w:tcPr>
            <w:tcW w:type="dxa" w:w="4513"/>
          </w:tcPr>
          <w:p>
            <w:r>
              <w:t>Urchin Tracking Module</w:t>
            </w:r>
          </w:p>
        </w:tc>
      </w:tr>
      <w:tr>
        <w:tc>
          <w:tcPr>
            <w:tcW w:type="dxa" w:w="4513"/>
          </w:tcPr>
          <w:p>
            <w:r>
              <w:t>VDC</w:t>
            </w:r>
          </w:p>
        </w:tc>
        <w:tc>
          <w:tcPr>
            <w:tcW w:type="dxa" w:w="4513"/>
          </w:tcPr>
          <w:p>
            <w:r>
              <w:t>Virtual Demand Centre</w:t>
            </w:r>
          </w:p>
        </w:tc>
      </w:tr>
      <w:tr>
        <w:tc>
          <w:tcPr>
            <w:tcW w:type="dxa" w:w="4513"/>
          </w:tcPr>
          <w:p>
            <w:r>
              <w:t>SIIA</w:t>
            </w:r>
          </w:p>
        </w:tc>
        <w:tc>
          <w:tcPr>
            <w:tcW w:type="dxa" w:w="4513"/>
          </w:tcPr>
          <w:p>
            <w:r>
              <w:t>Strategy, Investments, Insights and Analytics</w:t>
            </w:r>
          </w:p>
        </w:tc>
      </w:tr>
      <w:tr>
        <w:tc>
          <w:tcPr>
            <w:tcW w:type="dxa" w:w="4513"/>
          </w:tcPr>
          <w:p>
            <w:r>
              <w:t>CTT</w:t>
            </w:r>
          </w:p>
        </w:tc>
        <w:tc>
          <w:tcPr>
            <w:tcW w:type="dxa" w:w="4513"/>
          </w:tcPr>
          <w:p>
            <w:r>
              <w:t>Campaign Tagging and Tracking Tool that generates Activity, Offer and Drive To IDs</w:t>
            </w:r>
          </w:p>
        </w:tc>
      </w:tr>
      <w:tr>
        <w:tc>
          <w:tcPr>
            <w:tcW w:type="dxa" w:w="4513"/>
          </w:tcPr>
          <w:p>
            <w:r>
              <w:t>OMS</w:t>
            </w:r>
          </w:p>
        </w:tc>
        <w:tc>
          <w:tcPr>
            <w:tcW w:type="dxa" w:w="4513"/>
          </w:tcPr>
          <w:p>
            <w:r>
              <w:t>Table structure in Snowflake that captures data from the CTT Tool</w:t>
            </w:r>
          </w:p>
        </w:tc>
      </w:tr>
      <w:tr>
        <w:tc>
          <w:tcPr>
            <w:tcW w:type="dxa" w:w="4513"/>
          </w:tcPr>
          <w:p>
            <w:r>
              <w:t>OCID</w:t>
            </w:r>
          </w:p>
        </w:tc>
        <w:tc>
          <w:tcPr>
            <w:tcW w:type="dxa" w:w="4513"/>
          </w:tcPr>
          <w:p>
            <w:r>
              <w:t>Omni Channel ID — collective name for legacy IDs</w:t>
            </w:r>
          </w:p>
        </w:tc>
      </w:tr>
      <w:tr>
        <w:tc>
          <w:tcPr>
            <w:tcW w:type="dxa" w:w="4513"/>
          </w:tcPr>
          <w:p>
            <w:r>
              <w:t>OID</w:t>
            </w:r>
          </w:p>
        </w:tc>
        <w:tc>
          <w:tcPr>
            <w:tcW w:type="dxa" w:w="4513"/>
          </w:tcPr>
          <w:p>
            <w:r>
              <w:t>Offer ID — unique identifier relating to an offer presented to customers</w:t>
            </w:r>
          </w:p>
        </w:tc>
      </w:tr>
      <w:tr>
        <w:tc>
          <w:tcPr>
            <w:tcW w:type="dxa" w:w="4513"/>
          </w:tcPr>
          <w:p>
            <w:r>
              <w:t>CCID</w:t>
            </w:r>
          </w:p>
        </w:tc>
        <w:tc>
          <w:tcPr>
            <w:tcW w:type="dxa" w:w="4513"/>
          </w:tcPr>
          <w:p>
            <w:r>
              <w:t>Common Campaign ID — renamed Activity ID; legacy unique identifier for channel activation</w:t>
            </w:r>
          </w:p>
        </w:tc>
      </w:tr>
      <w:tr>
        <w:tc>
          <w:tcPr>
            <w:tcW w:type="dxa" w:w="4513"/>
          </w:tcPr>
          <w:p>
            <w:r>
              <w:t>DTID</w:t>
            </w:r>
          </w:p>
        </w:tc>
        <w:tc>
          <w:tcPr>
            <w:tcW w:type="dxa" w:w="4513"/>
          </w:tcPr>
          <w:p>
            <w:r>
              <w:t>Drive To ID — unique identifier aligned to the channel that drove the customer to .com</w:t>
            </w:r>
          </w:p>
        </w:tc>
      </w:tr>
      <w:tr>
        <w:tc>
          <w:tcPr>
            <w:tcW w:type="dxa" w:w="4513"/>
          </w:tcPr>
          <w:p>
            <w:r>
              <w:t>GTMPR</w:t>
            </w:r>
          </w:p>
        </w:tc>
        <w:tc>
          <w:tcPr>
            <w:tcW w:type="dxa" w:w="4513"/>
          </w:tcPr>
          <w:p>
            <w:r>
              <w:t>Go to Market Performance and Readiness Team</w:t>
            </w:r>
          </w:p>
        </w:tc>
      </w:tr>
      <w:tr>
        <w:tc>
          <w:tcPr>
            <w:tcW w:type="dxa" w:w="4513"/>
          </w:tcPr>
          <w:p>
            <w:r>
              <w:t>SFDC</w:t>
            </w:r>
          </w:p>
        </w:tc>
        <w:tc>
          <w:tcPr>
            <w:tcW w:type="dxa" w:w="4513"/>
          </w:tcPr>
          <w:p>
            <w:r>
              <w:t>Salesforce CRM used by sales teams; Marketing sends leads</w:t>
            </w:r>
          </w:p>
        </w:tc>
      </w:tr>
      <w:tr>
        <w:tc>
          <w:tcPr>
            <w:tcW w:type="dxa" w:w="4513"/>
          </w:tcPr>
          <w:p>
            <w:r>
              <w:t>API</w:t>
            </w:r>
          </w:p>
        </w:tc>
        <w:tc>
          <w:tcPr>
            <w:tcW w:type="dxa" w:w="4513"/>
          </w:tcPr>
          <w:p>
            <w:r>
              <w:t>Application Programming Interface</w:t>
            </w:r>
          </w:p>
        </w:tc>
      </w:tr>
      <w:tr>
        <w:tc>
          <w:tcPr>
            <w:tcW w:type="dxa" w:w="4513"/>
          </w:tcPr>
          <w:p>
            <w:r>
              <w:t>BCO</w:t>
            </w:r>
          </w:p>
        </w:tc>
        <w:tc>
          <w:tcPr>
            <w:tcW w:type="dxa" w:w="4513"/>
          </w:tcPr>
          <w:p>
            <w:r>
              <w:t>Business Capability Owner</w:t>
            </w:r>
          </w:p>
        </w:tc>
      </w:tr>
      <w:tr>
        <w:tc>
          <w:tcPr>
            <w:tcW w:type="dxa" w:w="4513"/>
          </w:tcPr>
          <w:p>
            <w:r>
              <w:t>BDM/TDM</w:t>
            </w:r>
          </w:p>
        </w:tc>
        <w:tc>
          <w:tcPr>
            <w:tcW w:type="dxa" w:w="4513"/>
          </w:tcPr>
          <w:p>
            <w:r>
              <w:t>Business/Technical Decision Maker</w:t>
            </w:r>
          </w:p>
        </w:tc>
      </w:tr>
      <w:tr>
        <w:tc>
          <w:tcPr>
            <w:tcW w:type="dxa" w:w="4513"/>
          </w:tcPr>
          <w:p>
            <w:r>
              <w:t>CX</w:t>
            </w:r>
          </w:p>
        </w:tc>
        <w:tc>
          <w:tcPr>
            <w:tcW w:type="dxa" w:w="4513"/>
          </w:tcPr>
          <w:p>
            <w:r>
              <w:t>Customer Experience</w:t>
            </w:r>
          </w:p>
        </w:tc>
      </w:tr>
    </w:tbl>
    <w:p>
      <w:pPr>
        <w:pStyle w:val="Heading1"/>
      </w:pPr>
      <w:r>
        <w:t>9. Approvals and Sign-Off</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t>Name</w:t>
            </w:r>
          </w:p>
        </w:tc>
        <w:tc>
          <w:tcPr>
            <w:tcW w:type="dxa" w:w="1805"/>
          </w:tcPr>
          <w:p>
            <w:r>
              <w:t>Role</w:t>
            </w:r>
          </w:p>
        </w:tc>
        <w:tc>
          <w:tcPr>
            <w:tcW w:type="dxa" w:w="1805"/>
          </w:tcPr>
          <w:p>
            <w:r>
              <w:t>Reviewer</w:t>
            </w:r>
          </w:p>
        </w:tc>
        <w:tc>
          <w:tcPr>
            <w:tcW w:type="dxa" w:w="1805"/>
          </w:tcPr>
          <w:p>
            <w:r>
              <w:t>Approver</w:t>
            </w:r>
          </w:p>
        </w:tc>
        <w:tc>
          <w:tcPr>
            <w:tcW w:type="dxa" w:w="1805"/>
          </w:tcPr>
          <w:p>
            <w:r>
              <w:t>Date</w:t>
            </w:r>
          </w:p>
        </w:tc>
      </w:tr>
      <w:tr>
        <w:tc>
          <w:tcPr>
            <w:tcW w:type="dxa" w:w="1805"/>
          </w:tcPr>
          <w:p>
            <w:r>
              <w:t>[TBD]</w:t>
            </w:r>
          </w:p>
        </w:tc>
        <w:tc>
          <w:tcPr>
            <w:tcW w:type="dxa" w:w="1805"/>
          </w:tcPr>
          <w:p>
            <w:r>
              <w:t>BCO — Workfront</w:t>
            </w:r>
          </w:p>
        </w:tc>
        <w:tc>
          <w:tcPr>
            <w:tcW w:type="dxa" w:w="1805"/>
          </w:tcPr>
          <w:p>
            <w:r/>
          </w:p>
        </w:tc>
        <w:tc>
          <w:tcPr>
            <w:tcW w:type="dxa" w:w="1805"/>
          </w:tcPr>
          <w:p>
            <w:r/>
          </w:p>
        </w:tc>
        <w:tc>
          <w:tcPr>
            <w:tcW w:type="dxa" w:w="1805"/>
          </w:tcPr>
          <w:p>
            <w:r/>
          </w:p>
        </w:tc>
      </w:tr>
      <w:tr>
        <w:tc>
          <w:tcPr>
            <w:tcW w:type="dxa" w:w="1805"/>
          </w:tcPr>
          <w:p>
            <w:r>
              <w:t>[TBD]</w:t>
            </w:r>
          </w:p>
        </w:tc>
        <w:tc>
          <w:tcPr>
            <w:tcW w:type="dxa" w:w="1805"/>
          </w:tcPr>
          <w:p>
            <w:r>
              <w:t>GTMPR / Campaign Governance</w:t>
            </w:r>
          </w:p>
        </w:tc>
        <w:tc>
          <w:tcPr>
            <w:tcW w:type="dxa" w:w="1805"/>
          </w:tcPr>
          <w:p>
            <w:r/>
          </w:p>
        </w:tc>
        <w:tc>
          <w:tcPr>
            <w:tcW w:type="dxa" w:w="1805"/>
          </w:tcPr>
          <w:p>
            <w:r/>
          </w:p>
        </w:tc>
        <w:tc>
          <w:tcPr>
            <w:tcW w:type="dxa" w:w="1805"/>
          </w:tcPr>
          <w:p>
            <w:r/>
          </w:p>
        </w:tc>
      </w:tr>
      <w:tr>
        <w:tc>
          <w:tcPr>
            <w:tcW w:type="dxa" w:w="1805"/>
          </w:tcPr>
          <w:p>
            <w:r>
              <w:t>[TBD]</w:t>
            </w:r>
          </w:p>
        </w:tc>
        <w:tc>
          <w:tcPr>
            <w:tcW w:type="dxa" w:w="1805"/>
          </w:tcPr>
          <w:p>
            <w:r>
              <w:t>Reporting / SIIA</w:t>
            </w:r>
          </w:p>
        </w:tc>
        <w:tc>
          <w:tcPr>
            <w:tcW w:type="dxa" w:w="1805"/>
          </w:tcPr>
          <w:p>
            <w:r/>
          </w:p>
        </w:tc>
        <w:tc>
          <w:tcPr>
            <w:tcW w:type="dxa" w:w="1805"/>
          </w:tcPr>
          <w:p>
            <w:r/>
          </w:p>
        </w:tc>
        <w:tc>
          <w:tcPr>
            <w:tcW w:type="dxa" w:w="1805"/>
          </w:tcPr>
          <w:p>
            <w:r/>
          </w:p>
        </w:tc>
      </w:tr>
      <w:tr>
        <w:tc>
          <w:tcPr>
            <w:tcW w:type="dxa" w:w="1805"/>
          </w:tcPr>
          <w:p>
            <w:r>
              <w:t>[TBD]</w:t>
            </w:r>
          </w:p>
        </w:tc>
        <w:tc>
          <w:tcPr>
            <w:tcW w:type="dxa" w:w="1805"/>
          </w:tcPr>
          <w:p>
            <w:r>
              <w:t>Project Sponsor</w:t>
            </w:r>
          </w:p>
        </w:tc>
        <w:tc>
          <w:tcPr>
            <w:tcW w:type="dxa" w:w="1805"/>
          </w:tcPr>
          <w:p>
            <w:r/>
          </w:p>
        </w:tc>
        <w:tc>
          <w:tcPr>
            <w:tcW w:type="dxa" w:w="1805"/>
          </w:tcPr>
          <w:p>
            <w:r/>
          </w:p>
        </w:tc>
        <w:tc>
          <w:tcPr>
            <w:tcW w:type="dxa" w:w="1805"/>
          </w:tcPr>
          <w:p>
            <w:r/>
          </w:p>
        </w:tc>
      </w:tr>
    </w:tbl>
    <w:sectPr w:rsidR="002B252E" w:rsidSect="00B15AF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15C3F" w14:textId="77777777" w:rsidR="00DE712A" w:rsidRDefault="00DE712A" w:rsidP="002F226D">
      <w:pPr>
        <w:spacing w:after="0" w:line="240" w:lineRule="auto"/>
      </w:pPr>
      <w:r>
        <w:separator/>
      </w:r>
    </w:p>
  </w:endnote>
  <w:endnote w:type="continuationSeparator" w:id="0">
    <w:p w14:paraId="26B383A9" w14:textId="77777777" w:rsidR="00DE712A" w:rsidRDefault="00DE712A" w:rsidP="002F226D">
      <w:pPr>
        <w:spacing w:after="0" w:line="240" w:lineRule="auto"/>
      </w:pPr>
      <w:r>
        <w:continuationSeparator/>
      </w:r>
    </w:p>
  </w:endnote>
  <w:endnote w:type="continuationNotice" w:id="1">
    <w:p w14:paraId="4911B191" w14:textId="77777777" w:rsidR="00DE712A" w:rsidRDefault="00DE71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CiscoSansCHT Bold">
    <w:altName w:val="Microsoft JhengHei"/>
    <w:charset w:val="88"/>
    <w:family w:val="auto"/>
    <w:pitch w:val="variable"/>
    <w:sig w:usb0="A00002FF" w:usb1="28C978FB" w:usb2="0000001E" w:usb3="00000000" w:csb0="001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E4E44" w14:textId="77777777" w:rsidR="00DE712A" w:rsidRDefault="00DE712A" w:rsidP="002F226D">
      <w:pPr>
        <w:spacing w:after="0" w:line="240" w:lineRule="auto"/>
      </w:pPr>
      <w:r>
        <w:separator/>
      </w:r>
    </w:p>
  </w:footnote>
  <w:footnote w:type="continuationSeparator" w:id="0">
    <w:p w14:paraId="555724B0" w14:textId="77777777" w:rsidR="00DE712A" w:rsidRDefault="00DE712A" w:rsidP="002F226D">
      <w:pPr>
        <w:spacing w:after="0" w:line="240" w:lineRule="auto"/>
      </w:pPr>
      <w:r>
        <w:continuationSeparator/>
      </w:r>
    </w:p>
  </w:footnote>
  <w:footnote w:type="continuationNotice" w:id="1">
    <w:p w14:paraId="7FD98633" w14:textId="77777777" w:rsidR="00DE712A" w:rsidRDefault="00DE712A">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9C8C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872D3D"/>
    <w:multiLevelType w:val="multilevel"/>
    <w:tmpl w:val="7A4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C7926"/>
    <w:multiLevelType w:val="multilevel"/>
    <w:tmpl w:val="D5221720"/>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11057B8"/>
    <w:multiLevelType w:val="multilevel"/>
    <w:tmpl w:val="0FD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5151652D"/>
    <w:multiLevelType w:val="multilevel"/>
    <w:tmpl w:val="E77864B8"/>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9AB514B"/>
    <w:multiLevelType w:val="multilevel"/>
    <w:tmpl w:val="D7A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F2D72"/>
    <w:multiLevelType w:val="hybridMultilevel"/>
    <w:tmpl w:val="BF6C3C06"/>
    <w:lvl w:ilvl="0" w:tplc="2752BB7C">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AEA5D19"/>
    <w:multiLevelType w:val="multilevel"/>
    <w:tmpl w:val="A79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5"/>
  </w:num>
  <w:num w:numId="2" w16cid:durableId="2108187855">
    <w:abstractNumId w:val="4"/>
  </w:num>
  <w:num w:numId="3" w16cid:durableId="1904172246">
    <w:abstractNumId w:val="11"/>
  </w:num>
  <w:num w:numId="4" w16cid:durableId="389696618">
    <w:abstractNumId w:val="9"/>
  </w:num>
  <w:num w:numId="5" w16cid:durableId="524682325">
    <w:abstractNumId w:val="6"/>
  </w:num>
  <w:num w:numId="6" w16cid:durableId="13864934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8"/>
  </w:num>
  <w:num w:numId="8" w16cid:durableId="2024815906">
    <w:abstractNumId w:val="6"/>
  </w:num>
  <w:num w:numId="9" w16cid:durableId="1938173451">
    <w:abstractNumId w:val="10"/>
  </w:num>
  <w:num w:numId="10" w16cid:durableId="1769277224">
    <w:abstractNumId w:val="3"/>
  </w:num>
  <w:num w:numId="11" w16cid:durableId="325985433">
    <w:abstractNumId w:val="1"/>
  </w:num>
  <w:num w:numId="12" w16cid:durableId="1300187441">
    <w:abstractNumId w:val="8"/>
    <w:lvlOverride w:ilvl="0">
      <w:startOverride w:val="1"/>
    </w:lvlOverride>
  </w:num>
  <w:num w:numId="13" w16cid:durableId="898051889">
    <w:abstractNumId w:val="8"/>
  </w:num>
  <w:num w:numId="14" w16cid:durableId="67118670">
    <w:abstractNumId w:val="2"/>
  </w:num>
  <w:num w:numId="15" w16cid:durableId="1634825495">
    <w:abstractNumId w:val="7"/>
  </w:num>
  <w:num w:numId="16" w16cid:durableId="163519106">
    <w:abstractNumId w:val="8"/>
    <w:lvlOverride w:ilvl="0">
      <w:startOverride w:val="1"/>
    </w:lvlOverride>
  </w:num>
  <w:num w:numId="17" w16cid:durableId="490567420">
    <w:abstractNumId w:val="0"/>
  </w:num>
  <w:num w:numId="18" w16cid:durableId="706373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08F3"/>
    <w:rsid w:val="00000F31"/>
    <w:rsid w:val="000015E1"/>
    <w:rsid w:val="00001DA8"/>
    <w:rsid w:val="00004261"/>
    <w:rsid w:val="00007678"/>
    <w:rsid w:val="000110F1"/>
    <w:rsid w:val="00012280"/>
    <w:rsid w:val="00014196"/>
    <w:rsid w:val="000223B7"/>
    <w:rsid w:val="000312E2"/>
    <w:rsid w:val="00032829"/>
    <w:rsid w:val="000350B5"/>
    <w:rsid w:val="00036125"/>
    <w:rsid w:val="00045343"/>
    <w:rsid w:val="00055F41"/>
    <w:rsid w:val="00056298"/>
    <w:rsid w:val="00057EDA"/>
    <w:rsid w:val="00062C6A"/>
    <w:rsid w:val="00063217"/>
    <w:rsid w:val="00064E7B"/>
    <w:rsid w:val="00066912"/>
    <w:rsid w:val="00066C08"/>
    <w:rsid w:val="00070C07"/>
    <w:rsid w:val="00071CFD"/>
    <w:rsid w:val="00073EF8"/>
    <w:rsid w:val="000755A0"/>
    <w:rsid w:val="00077935"/>
    <w:rsid w:val="00082D27"/>
    <w:rsid w:val="00086248"/>
    <w:rsid w:val="0009134C"/>
    <w:rsid w:val="000922CB"/>
    <w:rsid w:val="00092894"/>
    <w:rsid w:val="0009333B"/>
    <w:rsid w:val="00093608"/>
    <w:rsid w:val="00093C11"/>
    <w:rsid w:val="00094BCD"/>
    <w:rsid w:val="00096582"/>
    <w:rsid w:val="000A035D"/>
    <w:rsid w:val="000A0E69"/>
    <w:rsid w:val="000A31E2"/>
    <w:rsid w:val="000A545A"/>
    <w:rsid w:val="000A7A72"/>
    <w:rsid w:val="000B6E4F"/>
    <w:rsid w:val="000C1261"/>
    <w:rsid w:val="000C1B01"/>
    <w:rsid w:val="000C26AC"/>
    <w:rsid w:val="000C5573"/>
    <w:rsid w:val="000C75C2"/>
    <w:rsid w:val="000D2C03"/>
    <w:rsid w:val="000D6983"/>
    <w:rsid w:val="000D73DF"/>
    <w:rsid w:val="000E007B"/>
    <w:rsid w:val="000E092F"/>
    <w:rsid w:val="000E168F"/>
    <w:rsid w:val="000E32F0"/>
    <w:rsid w:val="000E3747"/>
    <w:rsid w:val="000E7548"/>
    <w:rsid w:val="000F1A0E"/>
    <w:rsid w:val="000F5839"/>
    <w:rsid w:val="000F6164"/>
    <w:rsid w:val="00100427"/>
    <w:rsid w:val="00100F49"/>
    <w:rsid w:val="00100FE3"/>
    <w:rsid w:val="001011F3"/>
    <w:rsid w:val="00101E3C"/>
    <w:rsid w:val="001034D8"/>
    <w:rsid w:val="001035F2"/>
    <w:rsid w:val="00106E85"/>
    <w:rsid w:val="00106FAE"/>
    <w:rsid w:val="00107FB6"/>
    <w:rsid w:val="00111015"/>
    <w:rsid w:val="00114BF2"/>
    <w:rsid w:val="00122354"/>
    <w:rsid w:val="00134356"/>
    <w:rsid w:val="00134DC7"/>
    <w:rsid w:val="00136D1E"/>
    <w:rsid w:val="00136DD6"/>
    <w:rsid w:val="00137866"/>
    <w:rsid w:val="00141411"/>
    <w:rsid w:val="00145C4E"/>
    <w:rsid w:val="001556DF"/>
    <w:rsid w:val="00156852"/>
    <w:rsid w:val="001572DC"/>
    <w:rsid w:val="00157764"/>
    <w:rsid w:val="00157C0B"/>
    <w:rsid w:val="0016101F"/>
    <w:rsid w:val="001666CE"/>
    <w:rsid w:val="00167045"/>
    <w:rsid w:val="00167105"/>
    <w:rsid w:val="00173A78"/>
    <w:rsid w:val="0017406A"/>
    <w:rsid w:val="00177EC1"/>
    <w:rsid w:val="00181F08"/>
    <w:rsid w:val="00185651"/>
    <w:rsid w:val="0018756D"/>
    <w:rsid w:val="001918A3"/>
    <w:rsid w:val="00193055"/>
    <w:rsid w:val="00193252"/>
    <w:rsid w:val="001A225C"/>
    <w:rsid w:val="001A285E"/>
    <w:rsid w:val="001A30DB"/>
    <w:rsid w:val="001B252B"/>
    <w:rsid w:val="001B280A"/>
    <w:rsid w:val="001B485B"/>
    <w:rsid w:val="001B4FA5"/>
    <w:rsid w:val="001B5B3B"/>
    <w:rsid w:val="001C00EA"/>
    <w:rsid w:val="001C338A"/>
    <w:rsid w:val="001C499D"/>
    <w:rsid w:val="001D0969"/>
    <w:rsid w:val="001D1A26"/>
    <w:rsid w:val="001D3238"/>
    <w:rsid w:val="001E00F3"/>
    <w:rsid w:val="001E05D6"/>
    <w:rsid w:val="001E0785"/>
    <w:rsid w:val="001E44DB"/>
    <w:rsid w:val="001F1493"/>
    <w:rsid w:val="001F20D3"/>
    <w:rsid w:val="001F451D"/>
    <w:rsid w:val="001F63EA"/>
    <w:rsid w:val="0020216D"/>
    <w:rsid w:val="00207EAA"/>
    <w:rsid w:val="00215C97"/>
    <w:rsid w:val="00217902"/>
    <w:rsid w:val="002204D5"/>
    <w:rsid w:val="00221AC8"/>
    <w:rsid w:val="0023084D"/>
    <w:rsid w:val="00231259"/>
    <w:rsid w:val="00234A35"/>
    <w:rsid w:val="002371E4"/>
    <w:rsid w:val="002374E5"/>
    <w:rsid w:val="0023784D"/>
    <w:rsid w:val="00237DD8"/>
    <w:rsid w:val="00242062"/>
    <w:rsid w:val="002428BF"/>
    <w:rsid w:val="00244A56"/>
    <w:rsid w:val="00244B41"/>
    <w:rsid w:val="0025039E"/>
    <w:rsid w:val="002505B1"/>
    <w:rsid w:val="0025563E"/>
    <w:rsid w:val="00256235"/>
    <w:rsid w:val="00256CCC"/>
    <w:rsid w:val="00257CC1"/>
    <w:rsid w:val="00261C5D"/>
    <w:rsid w:val="00265944"/>
    <w:rsid w:val="00271E1B"/>
    <w:rsid w:val="002726A5"/>
    <w:rsid w:val="00272D20"/>
    <w:rsid w:val="0027370E"/>
    <w:rsid w:val="002741F7"/>
    <w:rsid w:val="00275801"/>
    <w:rsid w:val="0027709A"/>
    <w:rsid w:val="00285D27"/>
    <w:rsid w:val="0029183D"/>
    <w:rsid w:val="0029188F"/>
    <w:rsid w:val="00293317"/>
    <w:rsid w:val="002A2076"/>
    <w:rsid w:val="002A3471"/>
    <w:rsid w:val="002A6A9A"/>
    <w:rsid w:val="002B252E"/>
    <w:rsid w:val="002B3627"/>
    <w:rsid w:val="002B41A7"/>
    <w:rsid w:val="002B5EE9"/>
    <w:rsid w:val="002C337E"/>
    <w:rsid w:val="002C4183"/>
    <w:rsid w:val="002C5F1C"/>
    <w:rsid w:val="002C6365"/>
    <w:rsid w:val="002C67A2"/>
    <w:rsid w:val="002C7175"/>
    <w:rsid w:val="002C72B2"/>
    <w:rsid w:val="002D0C00"/>
    <w:rsid w:val="002D291E"/>
    <w:rsid w:val="002D3A93"/>
    <w:rsid w:val="002D5C3D"/>
    <w:rsid w:val="002D6BC5"/>
    <w:rsid w:val="002D7A05"/>
    <w:rsid w:val="002E03C3"/>
    <w:rsid w:val="002E0FEF"/>
    <w:rsid w:val="002E28D0"/>
    <w:rsid w:val="002E7F3B"/>
    <w:rsid w:val="002F226D"/>
    <w:rsid w:val="002F297A"/>
    <w:rsid w:val="00302FFD"/>
    <w:rsid w:val="0030399E"/>
    <w:rsid w:val="00303FA8"/>
    <w:rsid w:val="003059C7"/>
    <w:rsid w:val="00305F7A"/>
    <w:rsid w:val="0030616E"/>
    <w:rsid w:val="0030674B"/>
    <w:rsid w:val="00307362"/>
    <w:rsid w:val="003109C1"/>
    <w:rsid w:val="00312D73"/>
    <w:rsid w:val="00312F88"/>
    <w:rsid w:val="00315B40"/>
    <w:rsid w:val="003241AA"/>
    <w:rsid w:val="00325911"/>
    <w:rsid w:val="003314BF"/>
    <w:rsid w:val="00333236"/>
    <w:rsid w:val="0033379D"/>
    <w:rsid w:val="00336038"/>
    <w:rsid w:val="00336923"/>
    <w:rsid w:val="00341066"/>
    <w:rsid w:val="00342395"/>
    <w:rsid w:val="0034261C"/>
    <w:rsid w:val="003444F3"/>
    <w:rsid w:val="003447E4"/>
    <w:rsid w:val="00350699"/>
    <w:rsid w:val="003518DF"/>
    <w:rsid w:val="00353526"/>
    <w:rsid w:val="00353651"/>
    <w:rsid w:val="00354F24"/>
    <w:rsid w:val="003600C6"/>
    <w:rsid w:val="00367BC9"/>
    <w:rsid w:val="00370629"/>
    <w:rsid w:val="00370E6A"/>
    <w:rsid w:val="003814F9"/>
    <w:rsid w:val="00390165"/>
    <w:rsid w:val="00391242"/>
    <w:rsid w:val="00392E5D"/>
    <w:rsid w:val="0039479F"/>
    <w:rsid w:val="003948AD"/>
    <w:rsid w:val="003953BB"/>
    <w:rsid w:val="003A0A30"/>
    <w:rsid w:val="003A222E"/>
    <w:rsid w:val="003A37FF"/>
    <w:rsid w:val="003A56D5"/>
    <w:rsid w:val="003A5BA2"/>
    <w:rsid w:val="003A6BC1"/>
    <w:rsid w:val="003B0D36"/>
    <w:rsid w:val="003B0F53"/>
    <w:rsid w:val="003B34B8"/>
    <w:rsid w:val="003B4401"/>
    <w:rsid w:val="003C0581"/>
    <w:rsid w:val="003C22D7"/>
    <w:rsid w:val="003C2486"/>
    <w:rsid w:val="003C2A03"/>
    <w:rsid w:val="003C2F48"/>
    <w:rsid w:val="003C4F9F"/>
    <w:rsid w:val="003C7160"/>
    <w:rsid w:val="003C7490"/>
    <w:rsid w:val="003D0A7F"/>
    <w:rsid w:val="003D18AE"/>
    <w:rsid w:val="003D508D"/>
    <w:rsid w:val="003E1315"/>
    <w:rsid w:val="003E5A86"/>
    <w:rsid w:val="003F25B8"/>
    <w:rsid w:val="003F2CC8"/>
    <w:rsid w:val="003F2CE0"/>
    <w:rsid w:val="00403916"/>
    <w:rsid w:val="00406C3A"/>
    <w:rsid w:val="004078F5"/>
    <w:rsid w:val="00411038"/>
    <w:rsid w:val="00412893"/>
    <w:rsid w:val="004134E5"/>
    <w:rsid w:val="004247C9"/>
    <w:rsid w:val="00425183"/>
    <w:rsid w:val="00425652"/>
    <w:rsid w:val="00431BDC"/>
    <w:rsid w:val="00435288"/>
    <w:rsid w:val="00441922"/>
    <w:rsid w:val="00442F8F"/>
    <w:rsid w:val="0044410B"/>
    <w:rsid w:val="00447D8D"/>
    <w:rsid w:val="004515E2"/>
    <w:rsid w:val="004525EE"/>
    <w:rsid w:val="0045563F"/>
    <w:rsid w:val="00461CE0"/>
    <w:rsid w:val="0046352F"/>
    <w:rsid w:val="00471C71"/>
    <w:rsid w:val="00472C3D"/>
    <w:rsid w:val="00473709"/>
    <w:rsid w:val="00476451"/>
    <w:rsid w:val="00480480"/>
    <w:rsid w:val="00484E01"/>
    <w:rsid w:val="004932D7"/>
    <w:rsid w:val="004960C2"/>
    <w:rsid w:val="004A0776"/>
    <w:rsid w:val="004A1C63"/>
    <w:rsid w:val="004A417A"/>
    <w:rsid w:val="004A6564"/>
    <w:rsid w:val="004B09B7"/>
    <w:rsid w:val="004B61C0"/>
    <w:rsid w:val="004B6E71"/>
    <w:rsid w:val="004B72E4"/>
    <w:rsid w:val="004C126D"/>
    <w:rsid w:val="004C17AC"/>
    <w:rsid w:val="004C3D08"/>
    <w:rsid w:val="004C698A"/>
    <w:rsid w:val="004D0956"/>
    <w:rsid w:val="004D217D"/>
    <w:rsid w:val="004D33F3"/>
    <w:rsid w:val="004D5B05"/>
    <w:rsid w:val="004D6F9D"/>
    <w:rsid w:val="004E0E52"/>
    <w:rsid w:val="004E3D01"/>
    <w:rsid w:val="004F0F76"/>
    <w:rsid w:val="004F18C2"/>
    <w:rsid w:val="004F5BB5"/>
    <w:rsid w:val="004F7B11"/>
    <w:rsid w:val="0050081C"/>
    <w:rsid w:val="00500DC2"/>
    <w:rsid w:val="0050243F"/>
    <w:rsid w:val="00504082"/>
    <w:rsid w:val="005067BB"/>
    <w:rsid w:val="00506917"/>
    <w:rsid w:val="00510A68"/>
    <w:rsid w:val="005110C3"/>
    <w:rsid w:val="005116FE"/>
    <w:rsid w:val="005117BC"/>
    <w:rsid w:val="00513AF5"/>
    <w:rsid w:val="0051567B"/>
    <w:rsid w:val="005256E8"/>
    <w:rsid w:val="0053257F"/>
    <w:rsid w:val="00533E25"/>
    <w:rsid w:val="00534EE2"/>
    <w:rsid w:val="00535983"/>
    <w:rsid w:val="0053646A"/>
    <w:rsid w:val="005409BB"/>
    <w:rsid w:val="0054578D"/>
    <w:rsid w:val="00545ECB"/>
    <w:rsid w:val="005460BD"/>
    <w:rsid w:val="0055473A"/>
    <w:rsid w:val="0055623B"/>
    <w:rsid w:val="00556570"/>
    <w:rsid w:val="00560034"/>
    <w:rsid w:val="00560825"/>
    <w:rsid w:val="00560CEB"/>
    <w:rsid w:val="00564090"/>
    <w:rsid w:val="00564FD9"/>
    <w:rsid w:val="00570C97"/>
    <w:rsid w:val="005719D6"/>
    <w:rsid w:val="00571DE6"/>
    <w:rsid w:val="00574689"/>
    <w:rsid w:val="00576135"/>
    <w:rsid w:val="0057694F"/>
    <w:rsid w:val="005772B8"/>
    <w:rsid w:val="00580461"/>
    <w:rsid w:val="00583C0C"/>
    <w:rsid w:val="00591346"/>
    <w:rsid w:val="00595FFA"/>
    <w:rsid w:val="005A01BC"/>
    <w:rsid w:val="005A2736"/>
    <w:rsid w:val="005A4675"/>
    <w:rsid w:val="005A5DAA"/>
    <w:rsid w:val="005B0E83"/>
    <w:rsid w:val="005B1D5C"/>
    <w:rsid w:val="005B1FEB"/>
    <w:rsid w:val="005B2C7C"/>
    <w:rsid w:val="005B4861"/>
    <w:rsid w:val="005C26BE"/>
    <w:rsid w:val="005C6513"/>
    <w:rsid w:val="005D0BC7"/>
    <w:rsid w:val="005D10AC"/>
    <w:rsid w:val="005D1F98"/>
    <w:rsid w:val="005D2991"/>
    <w:rsid w:val="005D41F9"/>
    <w:rsid w:val="005E0331"/>
    <w:rsid w:val="005E2813"/>
    <w:rsid w:val="005E44A9"/>
    <w:rsid w:val="005E4EA6"/>
    <w:rsid w:val="005E4F4A"/>
    <w:rsid w:val="005E6AEC"/>
    <w:rsid w:val="005F2B8D"/>
    <w:rsid w:val="005F328B"/>
    <w:rsid w:val="005F3FD6"/>
    <w:rsid w:val="005F57C8"/>
    <w:rsid w:val="005F5B70"/>
    <w:rsid w:val="00601CBF"/>
    <w:rsid w:val="00602FAD"/>
    <w:rsid w:val="006051CF"/>
    <w:rsid w:val="00606D9C"/>
    <w:rsid w:val="00610855"/>
    <w:rsid w:val="00614C77"/>
    <w:rsid w:val="0061646B"/>
    <w:rsid w:val="00621F5C"/>
    <w:rsid w:val="00623274"/>
    <w:rsid w:val="0062414F"/>
    <w:rsid w:val="00624D5A"/>
    <w:rsid w:val="006256A0"/>
    <w:rsid w:val="00625C61"/>
    <w:rsid w:val="00634515"/>
    <w:rsid w:val="00635122"/>
    <w:rsid w:val="00643D5D"/>
    <w:rsid w:val="006443B3"/>
    <w:rsid w:val="006450C5"/>
    <w:rsid w:val="006452D1"/>
    <w:rsid w:val="00646C25"/>
    <w:rsid w:val="00647331"/>
    <w:rsid w:val="006477F2"/>
    <w:rsid w:val="0065028C"/>
    <w:rsid w:val="00650DC4"/>
    <w:rsid w:val="00662D10"/>
    <w:rsid w:val="00670576"/>
    <w:rsid w:val="0067201C"/>
    <w:rsid w:val="0067295D"/>
    <w:rsid w:val="00674AEA"/>
    <w:rsid w:val="006765DC"/>
    <w:rsid w:val="00676ED9"/>
    <w:rsid w:val="00682147"/>
    <w:rsid w:val="00683162"/>
    <w:rsid w:val="00683926"/>
    <w:rsid w:val="006857A0"/>
    <w:rsid w:val="006874DD"/>
    <w:rsid w:val="006927BB"/>
    <w:rsid w:val="006935EA"/>
    <w:rsid w:val="00695866"/>
    <w:rsid w:val="00695A45"/>
    <w:rsid w:val="006966AA"/>
    <w:rsid w:val="00697E65"/>
    <w:rsid w:val="006A3255"/>
    <w:rsid w:val="006A4FD0"/>
    <w:rsid w:val="006A6BA0"/>
    <w:rsid w:val="006B21D8"/>
    <w:rsid w:val="006B38E6"/>
    <w:rsid w:val="006C2C1A"/>
    <w:rsid w:val="006C6084"/>
    <w:rsid w:val="006C61A6"/>
    <w:rsid w:val="006C6EF9"/>
    <w:rsid w:val="006C7F75"/>
    <w:rsid w:val="006D25A9"/>
    <w:rsid w:val="006D2ECF"/>
    <w:rsid w:val="006D30CA"/>
    <w:rsid w:val="006D314F"/>
    <w:rsid w:val="006D3201"/>
    <w:rsid w:val="006D41EB"/>
    <w:rsid w:val="006D594D"/>
    <w:rsid w:val="006E1C0D"/>
    <w:rsid w:val="006E3292"/>
    <w:rsid w:val="006F261F"/>
    <w:rsid w:val="006F2BCC"/>
    <w:rsid w:val="006F6205"/>
    <w:rsid w:val="006F6FE1"/>
    <w:rsid w:val="00702818"/>
    <w:rsid w:val="007059C9"/>
    <w:rsid w:val="007131E2"/>
    <w:rsid w:val="00713FC0"/>
    <w:rsid w:val="007154C6"/>
    <w:rsid w:val="00716A2B"/>
    <w:rsid w:val="00716C12"/>
    <w:rsid w:val="00717DA4"/>
    <w:rsid w:val="00720A65"/>
    <w:rsid w:val="00722EF6"/>
    <w:rsid w:val="00723277"/>
    <w:rsid w:val="00725ED6"/>
    <w:rsid w:val="00726959"/>
    <w:rsid w:val="007322E3"/>
    <w:rsid w:val="00733A5E"/>
    <w:rsid w:val="0073424C"/>
    <w:rsid w:val="00737406"/>
    <w:rsid w:val="00737410"/>
    <w:rsid w:val="00737954"/>
    <w:rsid w:val="007424D9"/>
    <w:rsid w:val="00744D59"/>
    <w:rsid w:val="00745785"/>
    <w:rsid w:val="00752B9C"/>
    <w:rsid w:val="00752B9E"/>
    <w:rsid w:val="0075364F"/>
    <w:rsid w:val="007557F1"/>
    <w:rsid w:val="00761D74"/>
    <w:rsid w:val="00765E4C"/>
    <w:rsid w:val="0076789C"/>
    <w:rsid w:val="0077341A"/>
    <w:rsid w:val="00773C7C"/>
    <w:rsid w:val="007776A7"/>
    <w:rsid w:val="00780DE9"/>
    <w:rsid w:val="0078102F"/>
    <w:rsid w:val="00792389"/>
    <w:rsid w:val="0079376A"/>
    <w:rsid w:val="00795675"/>
    <w:rsid w:val="007957BA"/>
    <w:rsid w:val="007A0FF8"/>
    <w:rsid w:val="007A1276"/>
    <w:rsid w:val="007A2636"/>
    <w:rsid w:val="007A45C6"/>
    <w:rsid w:val="007A65CA"/>
    <w:rsid w:val="007A68D2"/>
    <w:rsid w:val="007B231F"/>
    <w:rsid w:val="007B57FD"/>
    <w:rsid w:val="007B5FCF"/>
    <w:rsid w:val="007B7935"/>
    <w:rsid w:val="007B7C02"/>
    <w:rsid w:val="007C51F4"/>
    <w:rsid w:val="007D2F03"/>
    <w:rsid w:val="007D53E0"/>
    <w:rsid w:val="007D69EF"/>
    <w:rsid w:val="007D70C4"/>
    <w:rsid w:val="007D7DC2"/>
    <w:rsid w:val="007E1835"/>
    <w:rsid w:val="007E493E"/>
    <w:rsid w:val="007E7286"/>
    <w:rsid w:val="007F0B12"/>
    <w:rsid w:val="007F504D"/>
    <w:rsid w:val="007F66DD"/>
    <w:rsid w:val="007F7C74"/>
    <w:rsid w:val="00800B92"/>
    <w:rsid w:val="00801480"/>
    <w:rsid w:val="008021AF"/>
    <w:rsid w:val="0080256C"/>
    <w:rsid w:val="008054B3"/>
    <w:rsid w:val="0080585E"/>
    <w:rsid w:val="00807613"/>
    <w:rsid w:val="008128E6"/>
    <w:rsid w:val="00816C37"/>
    <w:rsid w:val="00816D83"/>
    <w:rsid w:val="00824E8A"/>
    <w:rsid w:val="008278CC"/>
    <w:rsid w:val="008303C4"/>
    <w:rsid w:val="008309EB"/>
    <w:rsid w:val="00831BE1"/>
    <w:rsid w:val="0084088C"/>
    <w:rsid w:val="008414CA"/>
    <w:rsid w:val="00841F24"/>
    <w:rsid w:val="008436A8"/>
    <w:rsid w:val="00846E60"/>
    <w:rsid w:val="008513F4"/>
    <w:rsid w:val="00860290"/>
    <w:rsid w:val="00862B69"/>
    <w:rsid w:val="00863BB3"/>
    <w:rsid w:val="008647DC"/>
    <w:rsid w:val="008654C7"/>
    <w:rsid w:val="008802D2"/>
    <w:rsid w:val="00881ACE"/>
    <w:rsid w:val="00885C7C"/>
    <w:rsid w:val="00886D40"/>
    <w:rsid w:val="00893025"/>
    <w:rsid w:val="00895BB0"/>
    <w:rsid w:val="008970DE"/>
    <w:rsid w:val="008A1AF0"/>
    <w:rsid w:val="008A1AFE"/>
    <w:rsid w:val="008B1EE6"/>
    <w:rsid w:val="008B2303"/>
    <w:rsid w:val="008C01E5"/>
    <w:rsid w:val="008C030C"/>
    <w:rsid w:val="008C5088"/>
    <w:rsid w:val="008C63EE"/>
    <w:rsid w:val="008D008E"/>
    <w:rsid w:val="008D37AE"/>
    <w:rsid w:val="008D3C7C"/>
    <w:rsid w:val="008D6102"/>
    <w:rsid w:val="008E20D7"/>
    <w:rsid w:val="008E787A"/>
    <w:rsid w:val="008F40C0"/>
    <w:rsid w:val="008F5986"/>
    <w:rsid w:val="008F7D80"/>
    <w:rsid w:val="009023B9"/>
    <w:rsid w:val="0090252F"/>
    <w:rsid w:val="00904615"/>
    <w:rsid w:val="0090606F"/>
    <w:rsid w:val="00906A84"/>
    <w:rsid w:val="009076F2"/>
    <w:rsid w:val="00907F30"/>
    <w:rsid w:val="00910983"/>
    <w:rsid w:val="00912EC2"/>
    <w:rsid w:val="009138A1"/>
    <w:rsid w:val="00917532"/>
    <w:rsid w:val="00922BB5"/>
    <w:rsid w:val="0092397D"/>
    <w:rsid w:val="00924AA4"/>
    <w:rsid w:val="00925901"/>
    <w:rsid w:val="0092678A"/>
    <w:rsid w:val="00927C0B"/>
    <w:rsid w:val="00935378"/>
    <w:rsid w:val="00935E3B"/>
    <w:rsid w:val="00935EC7"/>
    <w:rsid w:val="00937F29"/>
    <w:rsid w:val="00944A27"/>
    <w:rsid w:val="00945182"/>
    <w:rsid w:val="00946338"/>
    <w:rsid w:val="00950B4B"/>
    <w:rsid w:val="00951880"/>
    <w:rsid w:val="00956EF1"/>
    <w:rsid w:val="00963620"/>
    <w:rsid w:val="0096730B"/>
    <w:rsid w:val="0097146C"/>
    <w:rsid w:val="00972331"/>
    <w:rsid w:val="0097312E"/>
    <w:rsid w:val="0097350D"/>
    <w:rsid w:val="00973A76"/>
    <w:rsid w:val="00975281"/>
    <w:rsid w:val="00980582"/>
    <w:rsid w:val="009808E6"/>
    <w:rsid w:val="0098189D"/>
    <w:rsid w:val="00981FC9"/>
    <w:rsid w:val="00982BEB"/>
    <w:rsid w:val="00986206"/>
    <w:rsid w:val="00992A31"/>
    <w:rsid w:val="009935AD"/>
    <w:rsid w:val="009935CA"/>
    <w:rsid w:val="00994FA5"/>
    <w:rsid w:val="0099548D"/>
    <w:rsid w:val="009A013F"/>
    <w:rsid w:val="009A1F7A"/>
    <w:rsid w:val="009A3468"/>
    <w:rsid w:val="009A589C"/>
    <w:rsid w:val="009A62EC"/>
    <w:rsid w:val="009A637C"/>
    <w:rsid w:val="009A71F4"/>
    <w:rsid w:val="009A720C"/>
    <w:rsid w:val="009A763E"/>
    <w:rsid w:val="009A7D4A"/>
    <w:rsid w:val="009B18C4"/>
    <w:rsid w:val="009B3965"/>
    <w:rsid w:val="009B732C"/>
    <w:rsid w:val="009C31FB"/>
    <w:rsid w:val="009C43CD"/>
    <w:rsid w:val="009C5B6D"/>
    <w:rsid w:val="009C651C"/>
    <w:rsid w:val="009E3D58"/>
    <w:rsid w:val="009E41A5"/>
    <w:rsid w:val="009E6A2A"/>
    <w:rsid w:val="009E73D4"/>
    <w:rsid w:val="009E746A"/>
    <w:rsid w:val="009E7C12"/>
    <w:rsid w:val="009E7D8D"/>
    <w:rsid w:val="009E7DB5"/>
    <w:rsid w:val="009F1F7E"/>
    <w:rsid w:val="009F5445"/>
    <w:rsid w:val="00A03317"/>
    <w:rsid w:val="00A050C1"/>
    <w:rsid w:val="00A112F8"/>
    <w:rsid w:val="00A1795D"/>
    <w:rsid w:val="00A2062B"/>
    <w:rsid w:val="00A216B2"/>
    <w:rsid w:val="00A22B96"/>
    <w:rsid w:val="00A256C7"/>
    <w:rsid w:val="00A3172C"/>
    <w:rsid w:val="00A31C1C"/>
    <w:rsid w:val="00A34BFD"/>
    <w:rsid w:val="00A35F30"/>
    <w:rsid w:val="00A36207"/>
    <w:rsid w:val="00A375E7"/>
    <w:rsid w:val="00A376B2"/>
    <w:rsid w:val="00A418AA"/>
    <w:rsid w:val="00A467DD"/>
    <w:rsid w:val="00A46AAE"/>
    <w:rsid w:val="00A47C59"/>
    <w:rsid w:val="00A506DE"/>
    <w:rsid w:val="00A51C4D"/>
    <w:rsid w:val="00A57177"/>
    <w:rsid w:val="00A62A6A"/>
    <w:rsid w:val="00A64E4B"/>
    <w:rsid w:val="00A656A6"/>
    <w:rsid w:val="00A70624"/>
    <w:rsid w:val="00A71287"/>
    <w:rsid w:val="00A7263A"/>
    <w:rsid w:val="00A742D6"/>
    <w:rsid w:val="00A77528"/>
    <w:rsid w:val="00A80229"/>
    <w:rsid w:val="00A82025"/>
    <w:rsid w:val="00A83557"/>
    <w:rsid w:val="00A84A55"/>
    <w:rsid w:val="00A863D1"/>
    <w:rsid w:val="00A87A39"/>
    <w:rsid w:val="00A9688A"/>
    <w:rsid w:val="00A96C2F"/>
    <w:rsid w:val="00AA2329"/>
    <w:rsid w:val="00AA24FA"/>
    <w:rsid w:val="00AA69F4"/>
    <w:rsid w:val="00AA7B5F"/>
    <w:rsid w:val="00AB43E2"/>
    <w:rsid w:val="00AC7E35"/>
    <w:rsid w:val="00AD0DF4"/>
    <w:rsid w:val="00AD203C"/>
    <w:rsid w:val="00AD2DBF"/>
    <w:rsid w:val="00AD3914"/>
    <w:rsid w:val="00AD75A2"/>
    <w:rsid w:val="00AE02E8"/>
    <w:rsid w:val="00AE0CF6"/>
    <w:rsid w:val="00AE0D9D"/>
    <w:rsid w:val="00AE1973"/>
    <w:rsid w:val="00AE1A8E"/>
    <w:rsid w:val="00AE237F"/>
    <w:rsid w:val="00AE26F8"/>
    <w:rsid w:val="00AE4E7B"/>
    <w:rsid w:val="00AE6814"/>
    <w:rsid w:val="00AF12CA"/>
    <w:rsid w:val="00AF135D"/>
    <w:rsid w:val="00AF1FD9"/>
    <w:rsid w:val="00AF2BBA"/>
    <w:rsid w:val="00AF3C54"/>
    <w:rsid w:val="00AF7766"/>
    <w:rsid w:val="00B032BD"/>
    <w:rsid w:val="00B06393"/>
    <w:rsid w:val="00B125F4"/>
    <w:rsid w:val="00B12CEA"/>
    <w:rsid w:val="00B14FAD"/>
    <w:rsid w:val="00B15AF4"/>
    <w:rsid w:val="00B20906"/>
    <w:rsid w:val="00B23807"/>
    <w:rsid w:val="00B24054"/>
    <w:rsid w:val="00B3218D"/>
    <w:rsid w:val="00B3431F"/>
    <w:rsid w:val="00B3593F"/>
    <w:rsid w:val="00B37731"/>
    <w:rsid w:val="00B40B93"/>
    <w:rsid w:val="00B44C52"/>
    <w:rsid w:val="00B560B0"/>
    <w:rsid w:val="00B57FD5"/>
    <w:rsid w:val="00B6007E"/>
    <w:rsid w:val="00B6495E"/>
    <w:rsid w:val="00B7229F"/>
    <w:rsid w:val="00B72DA3"/>
    <w:rsid w:val="00B75015"/>
    <w:rsid w:val="00B76FE6"/>
    <w:rsid w:val="00B81B13"/>
    <w:rsid w:val="00B84D48"/>
    <w:rsid w:val="00B853D5"/>
    <w:rsid w:val="00B85417"/>
    <w:rsid w:val="00B856FB"/>
    <w:rsid w:val="00B91996"/>
    <w:rsid w:val="00B932F8"/>
    <w:rsid w:val="00B9342E"/>
    <w:rsid w:val="00B95610"/>
    <w:rsid w:val="00BA473E"/>
    <w:rsid w:val="00BA783E"/>
    <w:rsid w:val="00BB15EF"/>
    <w:rsid w:val="00BB273E"/>
    <w:rsid w:val="00BB5D50"/>
    <w:rsid w:val="00BB6B5A"/>
    <w:rsid w:val="00BB704E"/>
    <w:rsid w:val="00BC3F72"/>
    <w:rsid w:val="00BD0935"/>
    <w:rsid w:val="00BD5A87"/>
    <w:rsid w:val="00BD5EE0"/>
    <w:rsid w:val="00BD7336"/>
    <w:rsid w:val="00BE03BD"/>
    <w:rsid w:val="00BF42D5"/>
    <w:rsid w:val="00BF5F46"/>
    <w:rsid w:val="00C03256"/>
    <w:rsid w:val="00C06FC1"/>
    <w:rsid w:val="00C07567"/>
    <w:rsid w:val="00C07BC7"/>
    <w:rsid w:val="00C11098"/>
    <w:rsid w:val="00C1629A"/>
    <w:rsid w:val="00C24837"/>
    <w:rsid w:val="00C24AD0"/>
    <w:rsid w:val="00C26B41"/>
    <w:rsid w:val="00C27961"/>
    <w:rsid w:val="00C27B2F"/>
    <w:rsid w:val="00C32AA7"/>
    <w:rsid w:val="00C33C71"/>
    <w:rsid w:val="00C35864"/>
    <w:rsid w:val="00C43C6B"/>
    <w:rsid w:val="00C43D75"/>
    <w:rsid w:val="00C47288"/>
    <w:rsid w:val="00C52847"/>
    <w:rsid w:val="00C57B4C"/>
    <w:rsid w:val="00C62839"/>
    <w:rsid w:val="00C62A04"/>
    <w:rsid w:val="00C63199"/>
    <w:rsid w:val="00C64CE0"/>
    <w:rsid w:val="00C67DD3"/>
    <w:rsid w:val="00C703CF"/>
    <w:rsid w:val="00C8137C"/>
    <w:rsid w:val="00C81A7E"/>
    <w:rsid w:val="00C8482D"/>
    <w:rsid w:val="00C86AFA"/>
    <w:rsid w:val="00C96666"/>
    <w:rsid w:val="00C97005"/>
    <w:rsid w:val="00C975D7"/>
    <w:rsid w:val="00CA1812"/>
    <w:rsid w:val="00CA19A6"/>
    <w:rsid w:val="00CA3A90"/>
    <w:rsid w:val="00CA7113"/>
    <w:rsid w:val="00CB1AD7"/>
    <w:rsid w:val="00CB561A"/>
    <w:rsid w:val="00CB5A48"/>
    <w:rsid w:val="00CC13DA"/>
    <w:rsid w:val="00CC32E7"/>
    <w:rsid w:val="00CC5865"/>
    <w:rsid w:val="00CC58B6"/>
    <w:rsid w:val="00CD20E6"/>
    <w:rsid w:val="00CD5F2A"/>
    <w:rsid w:val="00CD753F"/>
    <w:rsid w:val="00CF218B"/>
    <w:rsid w:val="00CF298F"/>
    <w:rsid w:val="00CF39A0"/>
    <w:rsid w:val="00CF59FC"/>
    <w:rsid w:val="00CF64C6"/>
    <w:rsid w:val="00CF68BB"/>
    <w:rsid w:val="00D0147D"/>
    <w:rsid w:val="00D01979"/>
    <w:rsid w:val="00D020AE"/>
    <w:rsid w:val="00D057AE"/>
    <w:rsid w:val="00D058DF"/>
    <w:rsid w:val="00D06B19"/>
    <w:rsid w:val="00D1021C"/>
    <w:rsid w:val="00D1128C"/>
    <w:rsid w:val="00D116E8"/>
    <w:rsid w:val="00D12C4A"/>
    <w:rsid w:val="00D1415C"/>
    <w:rsid w:val="00D144FA"/>
    <w:rsid w:val="00D14902"/>
    <w:rsid w:val="00D15F4E"/>
    <w:rsid w:val="00D169F2"/>
    <w:rsid w:val="00D172C1"/>
    <w:rsid w:val="00D239CF"/>
    <w:rsid w:val="00D24DD9"/>
    <w:rsid w:val="00D2500F"/>
    <w:rsid w:val="00D31AD8"/>
    <w:rsid w:val="00D340DA"/>
    <w:rsid w:val="00D345A1"/>
    <w:rsid w:val="00D45918"/>
    <w:rsid w:val="00D51080"/>
    <w:rsid w:val="00D521AC"/>
    <w:rsid w:val="00D53C51"/>
    <w:rsid w:val="00D54B1C"/>
    <w:rsid w:val="00D572A7"/>
    <w:rsid w:val="00D57843"/>
    <w:rsid w:val="00D61929"/>
    <w:rsid w:val="00D62E46"/>
    <w:rsid w:val="00D6723D"/>
    <w:rsid w:val="00D73096"/>
    <w:rsid w:val="00D73E0A"/>
    <w:rsid w:val="00D81DD2"/>
    <w:rsid w:val="00D82C4C"/>
    <w:rsid w:val="00D84373"/>
    <w:rsid w:val="00D84ABD"/>
    <w:rsid w:val="00D85B7B"/>
    <w:rsid w:val="00D86BE1"/>
    <w:rsid w:val="00D920E8"/>
    <w:rsid w:val="00D92606"/>
    <w:rsid w:val="00D92C5C"/>
    <w:rsid w:val="00DB0C62"/>
    <w:rsid w:val="00DB6691"/>
    <w:rsid w:val="00DC38A9"/>
    <w:rsid w:val="00DC47D0"/>
    <w:rsid w:val="00DC48F8"/>
    <w:rsid w:val="00DC7A76"/>
    <w:rsid w:val="00DD0112"/>
    <w:rsid w:val="00DD7579"/>
    <w:rsid w:val="00DE2C12"/>
    <w:rsid w:val="00DE2F06"/>
    <w:rsid w:val="00DE712A"/>
    <w:rsid w:val="00DE72F5"/>
    <w:rsid w:val="00DE783A"/>
    <w:rsid w:val="00DF0FD7"/>
    <w:rsid w:val="00DF586F"/>
    <w:rsid w:val="00E006A5"/>
    <w:rsid w:val="00E10EB1"/>
    <w:rsid w:val="00E144CF"/>
    <w:rsid w:val="00E151C4"/>
    <w:rsid w:val="00E16EC5"/>
    <w:rsid w:val="00E2028F"/>
    <w:rsid w:val="00E24080"/>
    <w:rsid w:val="00E378A5"/>
    <w:rsid w:val="00E405A1"/>
    <w:rsid w:val="00E44AEF"/>
    <w:rsid w:val="00E44B64"/>
    <w:rsid w:val="00E44BF4"/>
    <w:rsid w:val="00E458D0"/>
    <w:rsid w:val="00E5146F"/>
    <w:rsid w:val="00E541AA"/>
    <w:rsid w:val="00E549B8"/>
    <w:rsid w:val="00E57B59"/>
    <w:rsid w:val="00E630D8"/>
    <w:rsid w:val="00E64D3D"/>
    <w:rsid w:val="00E663D6"/>
    <w:rsid w:val="00E70DBC"/>
    <w:rsid w:val="00E70E34"/>
    <w:rsid w:val="00E72FA8"/>
    <w:rsid w:val="00E75CA9"/>
    <w:rsid w:val="00E81012"/>
    <w:rsid w:val="00E821FD"/>
    <w:rsid w:val="00E83C71"/>
    <w:rsid w:val="00E85FC2"/>
    <w:rsid w:val="00E9485A"/>
    <w:rsid w:val="00E94A40"/>
    <w:rsid w:val="00EA0694"/>
    <w:rsid w:val="00EA198A"/>
    <w:rsid w:val="00EA1D84"/>
    <w:rsid w:val="00EB29A1"/>
    <w:rsid w:val="00EB5F29"/>
    <w:rsid w:val="00EC1107"/>
    <w:rsid w:val="00EC26C1"/>
    <w:rsid w:val="00EC41F1"/>
    <w:rsid w:val="00EC65C9"/>
    <w:rsid w:val="00ED042F"/>
    <w:rsid w:val="00ED0473"/>
    <w:rsid w:val="00ED0C66"/>
    <w:rsid w:val="00ED71EC"/>
    <w:rsid w:val="00ED7247"/>
    <w:rsid w:val="00ED7767"/>
    <w:rsid w:val="00EE11B8"/>
    <w:rsid w:val="00EE3679"/>
    <w:rsid w:val="00EE62A3"/>
    <w:rsid w:val="00EE6615"/>
    <w:rsid w:val="00EE6A6A"/>
    <w:rsid w:val="00EF1866"/>
    <w:rsid w:val="00EF1F51"/>
    <w:rsid w:val="00EF3D00"/>
    <w:rsid w:val="00EF3F96"/>
    <w:rsid w:val="00F01712"/>
    <w:rsid w:val="00F018AE"/>
    <w:rsid w:val="00F03AF8"/>
    <w:rsid w:val="00F04461"/>
    <w:rsid w:val="00F05C2B"/>
    <w:rsid w:val="00F062EB"/>
    <w:rsid w:val="00F1464C"/>
    <w:rsid w:val="00F154B7"/>
    <w:rsid w:val="00F23BA9"/>
    <w:rsid w:val="00F25882"/>
    <w:rsid w:val="00F25EAA"/>
    <w:rsid w:val="00F3347A"/>
    <w:rsid w:val="00F33AF1"/>
    <w:rsid w:val="00F52D57"/>
    <w:rsid w:val="00F556C7"/>
    <w:rsid w:val="00F565B5"/>
    <w:rsid w:val="00F57164"/>
    <w:rsid w:val="00F632C0"/>
    <w:rsid w:val="00F63F15"/>
    <w:rsid w:val="00F65544"/>
    <w:rsid w:val="00F6621C"/>
    <w:rsid w:val="00F66CCD"/>
    <w:rsid w:val="00F71F58"/>
    <w:rsid w:val="00F732FB"/>
    <w:rsid w:val="00F77188"/>
    <w:rsid w:val="00F814F7"/>
    <w:rsid w:val="00F8563C"/>
    <w:rsid w:val="00F93D78"/>
    <w:rsid w:val="00F95C80"/>
    <w:rsid w:val="00F9671B"/>
    <w:rsid w:val="00FA07CF"/>
    <w:rsid w:val="00FA5038"/>
    <w:rsid w:val="00FB2E94"/>
    <w:rsid w:val="00FB3173"/>
    <w:rsid w:val="00FC3B52"/>
    <w:rsid w:val="00FC4D10"/>
    <w:rsid w:val="00FC50D5"/>
    <w:rsid w:val="00FC6C10"/>
    <w:rsid w:val="00FD1DFC"/>
    <w:rsid w:val="00FD5CB3"/>
    <w:rsid w:val="00FE0DCD"/>
    <w:rsid w:val="00FE10B5"/>
    <w:rsid w:val="00FE1B76"/>
    <w:rsid w:val="00FE1DC2"/>
    <w:rsid w:val="00FE3D35"/>
    <w:rsid w:val="00FE3D73"/>
    <w:rsid w:val="00FE4EBA"/>
    <w:rsid w:val="00FF1411"/>
    <w:rsid w:val="00FF1E76"/>
    <w:rsid w:val="00FF25C8"/>
    <w:rsid w:val="00FF6DDA"/>
    <w:rsid w:val="01A5ABB8"/>
    <w:rsid w:val="03A28C2E"/>
    <w:rsid w:val="04507B33"/>
    <w:rsid w:val="04A09AF0"/>
    <w:rsid w:val="054DA549"/>
    <w:rsid w:val="056D8059"/>
    <w:rsid w:val="0680E56D"/>
    <w:rsid w:val="07586975"/>
    <w:rsid w:val="07A883E6"/>
    <w:rsid w:val="0A8CF889"/>
    <w:rsid w:val="0BE72311"/>
    <w:rsid w:val="0DDBFD41"/>
    <w:rsid w:val="0EDC7FFE"/>
    <w:rsid w:val="0EF28680"/>
    <w:rsid w:val="0F0E94FB"/>
    <w:rsid w:val="0FE10DE6"/>
    <w:rsid w:val="129CD430"/>
    <w:rsid w:val="12A753A0"/>
    <w:rsid w:val="174D1D5C"/>
    <w:rsid w:val="17F4ACA0"/>
    <w:rsid w:val="186F079C"/>
    <w:rsid w:val="188FA5A3"/>
    <w:rsid w:val="1A40AB30"/>
    <w:rsid w:val="1AAF867A"/>
    <w:rsid w:val="1C8D8DDA"/>
    <w:rsid w:val="1CAAB150"/>
    <w:rsid w:val="20FF1905"/>
    <w:rsid w:val="212DA212"/>
    <w:rsid w:val="2386E34C"/>
    <w:rsid w:val="23B543A1"/>
    <w:rsid w:val="2426323C"/>
    <w:rsid w:val="245D78A7"/>
    <w:rsid w:val="245F9DA3"/>
    <w:rsid w:val="24CAA3ED"/>
    <w:rsid w:val="26933AE8"/>
    <w:rsid w:val="26C7E49D"/>
    <w:rsid w:val="2772396F"/>
    <w:rsid w:val="28C56EEA"/>
    <w:rsid w:val="29C328F8"/>
    <w:rsid w:val="30D52EC6"/>
    <w:rsid w:val="31820F1D"/>
    <w:rsid w:val="3226731C"/>
    <w:rsid w:val="3406F8B3"/>
    <w:rsid w:val="34F648C5"/>
    <w:rsid w:val="35BB8393"/>
    <w:rsid w:val="372F2C35"/>
    <w:rsid w:val="372F5A45"/>
    <w:rsid w:val="3743DEB9"/>
    <w:rsid w:val="3876F48B"/>
    <w:rsid w:val="3B2B1C23"/>
    <w:rsid w:val="3BA8999A"/>
    <w:rsid w:val="3BC74D8C"/>
    <w:rsid w:val="3C811BAD"/>
    <w:rsid w:val="3CB77AE8"/>
    <w:rsid w:val="3CE22046"/>
    <w:rsid w:val="3DDCD120"/>
    <w:rsid w:val="3F775C0D"/>
    <w:rsid w:val="406E96AD"/>
    <w:rsid w:val="407FD347"/>
    <w:rsid w:val="47E29DEC"/>
    <w:rsid w:val="47FFF95F"/>
    <w:rsid w:val="48CABD9D"/>
    <w:rsid w:val="49DEB2EC"/>
    <w:rsid w:val="4ACE03BD"/>
    <w:rsid w:val="4CEADBA2"/>
    <w:rsid w:val="4D32D2ED"/>
    <w:rsid w:val="4F25A456"/>
    <w:rsid w:val="4F8883A4"/>
    <w:rsid w:val="502E1376"/>
    <w:rsid w:val="504AECD6"/>
    <w:rsid w:val="50A4B6F4"/>
    <w:rsid w:val="542BEABB"/>
    <w:rsid w:val="58370EA4"/>
    <w:rsid w:val="599B5638"/>
    <w:rsid w:val="5A27BB53"/>
    <w:rsid w:val="5B41AA97"/>
    <w:rsid w:val="5BB7D706"/>
    <w:rsid w:val="5C68338F"/>
    <w:rsid w:val="5C6C61EF"/>
    <w:rsid w:val="5D151FD9"/>
    <w:rsid w:val="5D76C176"/>
    <w:rsid w:val="5E48397D"/>
    <w:rsid w:val="5ED071B1"/>
    <w:rsid w:val="5FA0A559"/>
    <w:rsid w:val="5FC2BE26"/>
    <w:rsid w:val="61A3CB84"/>
    <w:rsid w:val="6273BA88"/>
    <w:rsid w:val="647449CF"/>
    <w:rsid w:val="66CC7F14"/>
    <w:rsid w:val="68C2159D"/>
    <w:rsid w:val="6905C732"/>
    <w:rsid w:val="69D94E03"/>
    <w:rsid w:val="6A0981AC"/>
    <w:rsid w:val="6A0C051F"/>
    <w:rsid w:val="6A1FFBA2"/>
    <w:rsid w:val="6CE75F69"/>
    <w:rsid w:val="6D78362E"/>
    <w:rsid w:val="6F102B74"/>
    <w:rsid w:val="711FDF2E"/>
    <w:rsid w:val="71962578"/>
    <w:rsid w:val="7212B824"/>
    <w:rsid w:val="723D6F5C"/>
    <w:rsid w:val="72D341C6"/>
    <w:rsid w:val="735FCF92"/>
    <w:rsid w:val="737AE4B0"/>
    <w:rsid w:val="748D78B4"/>
    <w:rsid w:val="75164990"/>
    <w:rsid w:val="76FE6945"/>
    <w:rsid w:val="77C82428"/>
    <w:rsid w:val="787A6692"/>
    <w:rsid w:val="7919375D"/>
    <w:rsid w:val="7A12E2D3"/>
    <w:rsid w:val="7AB94E18"/>
    <w:rsid w:val="7BD7A1E5"/>
    <w:rsid w:val="7C927558"/>
    <w:rsid w:val="7DE0D6CF"/>
    <w:rsid w:val="7E766716"/>
    <w:rsid w:val="7E7D3F78"/>
    <w:rsid w:val="7E7E130D"/>
    <w:rsid w:val="7F3AED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90BD6"/>
  <w15:chartTrackingRefBased/>
  <w15:docId w15:val="{18485F8A-BF9D-4324-B6E5-19E9498C2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F53"/>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96C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96C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96C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96C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96C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1C61B7"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1C61B7"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03869"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03869"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111015"/>
    <w:pPr>
      <w:spacing w:after="0" w:line="240" w:lineRule="auto"/>
    </w:pPr>
    <w:rPr>
      <w:noProof/>
      <w:sz w:val="20"/>
    </w:rPr>
  </w:style>
  <w:style w:type="character" w:customStyle="1" w:styleId="CiscoNormalChar">
    <w:name w:val="Cisco Normal Char"/>
    <w:basedOn w:val="DefaultParagraphFont"/>
    <w:link w:val="CiscoNormal"/>
    <w:rsid w:val="00111015"/>
    <w:rPr>
      <w:noProof/>
      <w:sz w:val="20"/>
    </w:rPr>
  </w:style>
  <w:style w:type="paragraph" w:customStyle="1" w:styleId="CiscoListParagraph">
    <w:name w:val="Cisco List Paragraph"/>
    <w:basedOn w:val="ListParagraph"/>
    <w:link w:val="CiscoListParagraphChar"/>
    <w:autoRedefine/>
    <w:qFormat/>
    <w:rsid w:val="0029188F"/>
    <w:pPr>
      <w:numPr>
        <w:numId w:val="8"/>
      </w:numPr>
      <w:spacing w:after="0"/>
    </w:pPr>
    <w:rPr>
      <w:noProof/>
      <w:sz w:val="18"/>
    </w:rPr>
  </w:style>
  <w:style w:type="character" w:customStyle="1" w:styleId="CiscoListParagraphChar">
    <w:name w:val="Cisco List Paragraph Char"/>
    <w:basedOn w:val="DefaultParagraphFont"/>
    <w:link w:val="CiscoListParagraph"/>
    <w:rsid w:val="0029188F"/>
    <w:rPr>
      <w:noProof/>
      <w:sz w:val="18"/>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5C6513"/>
    <w:pPr>
      <w:numPr>
        <w:numId w:val="16"/>
      </w:numPr>
      <w:spacing w:before="0" w:after="0"/>
    </w:pPr>
    <w:rPr>
      <w:rFonts w:ascii="CiscoSansCHS Bold" w:eastAsia="CiscoSansCHS Bold" w:hAnsi="CiscoSansCHS Bold" w:cs="CiscoSansTT"/>
      <w:b/>
      <w:color w:val="B4B9C0" w:themeColor="background2"/>
      <w:sz w:val="32"/>
      <w:szCs w:val="32"/>
    </w:rPr>
  </w:style>
  <w:style w:type="character" w:customStyle="1" w:styleId="CiscoHeadingChar">
    <w:name w:val="Cisco Heading Char"/>
    <w:basedOn w:val="Heading1Char"/>
    <w:link w:val="CiscoHeading"/>
    <w:rsid w:val="005C6513"/>
    <w:rPr>
      <w:rFonts w:ascii="CiscoSansCHS Bold" w:eastAsia="CiscoSansCHS Bold" w:hAnsi="CiscoSansCHS Bold" w:cs="CiscoSansTT"/>
      <w:b/>
      <w:color w:val="B4B9C0"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96C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96C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96C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96C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96C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1C61B7"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1C61B7"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03869"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03869"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1C61B7"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1C61B7"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64C90" w:themeColor="text1" w:themeTint="BF"/>
    </w:rPr>
  </w:style>
  <w:style w:type="character" w:customStyle="1" w:styleId="QuoteChar">
    <w:name w:val="Quote Char"/>
    <w:basedOn w:val="DefaultParagraphFont"/>
    <w:link w:val="Quote"/>
    <w:uiPriority w:val="29"/>
    <w:rsid w:val="002F226D"/>
    <w:rPr>
      <w:i/>
      <w:iCs/>
      <w:color w:val="164C90" w:themeColor="text1" w:themeTint="BF"/>
    </w:rPr>
  </w:style>
  <w:style w:type="character" w:styleId="IntenseEmphasis">
    <w:name w:val="Intense Emphasis"/>
    <w:basedOn w:val="DefaultParagraphFont"/>
    <w:uiPriority w:val="21"/>
    <w:qFormat/>
    <w:rsid w:val="002F226D"/>
    <w:rPr>
      <w:i/>
      <w:iCs/>
      <w:color w:val="0096C0" w:themeColor="accent1" w:themeShade="BF"/>
    </w:rPr>
  </w:style>
  <w:style w:type="paragraph" w:styleId="IntenseQuote">
    <w:name w:val="Intense Quote"/>
    <w:basedOn w:val="Normal"/>
    <w:next w:val="Normal"/>
    <w:link w:val="IntenseQuoteChar"/>
    <w:uiPriority w:val="30"/>
    <w:qFormat/>
    <w:rsid w:val="002F226D"/>
    <w:pPr>
      <w:pBdr>
        <w:top w:val="single" w:sz="4" w:space="10" w:color="0096C0" w:themeColor="accent1" w:themeShade="BF"/>
        <w:bottom w:val="single" w:sz="4" w:space="10" w:color="0096C0" w:themeColor="accent1" w:themeShade="BF"/>
      </w:pBdr>
      <w:spacing w:before="360" w:after="360"/>
      <w:ind w:left="864" w:right="864"/>
      <w:jc w:val="center"/>
    </w:pPr>
    <w:rPr>
      <w:i/>
      <w:iCs/>
      <w:color w:val="0096C0" w:themeColor="accent1" w:themeShade="BF"/>
    </w:rPr>
  </w:style>
  <w:style w:type="character" w:customStyle="1" w:styleId="IntenseQuoteChar">
    <w:name w:val="Intense Quote Char"/>
    <w:basedOn w:val="DefaultParagraphFont"/>
    <w:link w:val="IntenseQuote"/>
    <w:uiPriority w:val="30"/>
    <w:rsid w:val="002F226D"/>
    <w:rPr>
      <w:i/>
      <w:iCs/>
      <w:color w:val="0096C0" w:themeColor="accent1" w:themeShade="BF"/>
    </w:rPr>
  </w:style>
  <w:style w:type="character" w:styleId="IntenseReference">
    <w:name w:val="Intense Reference"/>
    <w:basedOn w:val="DefaultParagraphFont"/>
    <w:uiPriority w:val="32"/>
    <w:qFormat/>
    <w:rsid w:val="002F226D"/>
    <w:rPr>
      <w:b/>
      <w:bCs/>
      <w:smallCaps/>
      <w:color w:val="0096C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MainHeading">
    <w:name w:val="Cisco Main Heading"/>
    <w:basedOn w:val="Heading2"/>
    <w:link w:val="CiscoMainHeadingChar"/>
    <w:autoRedefine/>
    <w:qFormat/>
    <w:rsid w:val="00A51C4D"/>
    <w:pPr>
      <w:spacing w:after="0"/>
    </w:pPr>
    <w:rPr>
      <w:rFonts w:ascii="CiscoSansTT" w:hAnsi="CiscoSansTT"/>
      <w:b/>
      <w:smallCaps/>
      <w:color w:val="3783E0" w:themeColor="text1" w:themeTint="80"/>
      <w:sz w:val="28"/>
    </w:rPr>
  </w:style>
  <w:style w:type="character" w:customStyle="1" w:styleId="CiscoMainHeadingChar">
    <w:name w:val="Cisco Main Heading Char"/>
    <w:basedOn w:val="DefaultParagraphFont"/>
    <w:link w:val="CiscoMainHeading"/>
    <w:rsid w:val="00A51C4D"/>
    <w:rPr>
      <w:rFonts w:eastAsiaTheme="majorEastAsia" w:cstheme="majorBidi"/>
      <w:b/>
      <w:smallCaps/>
      <w:color w:val="3783E0" w:themeColor="text1" w:themeTint="80"/>
      <w:sz w:val="28"/>
      <w:szCs w:val="32"/>
    </w:rPr>
  </w:style>
  <w:style w:type="table" w:styleId="TableGrid">
    <w:name w:val="Table Grid"/>
    <w:basedOn w:val="TableNormal"/>
    <w:uiPriority w:val="5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7182D"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919DAC" w:themeColor="text2" w:themeTint="99"/>
    </w:rPr>
  </w:style>
  <w:style w:type="character" w:customStyle="1" w:styleId="ExamplesChar">
    <w:name w:val="Examples Char"/>
    <w:basedOn w:val="CiscoNormalChar"/>
    <w:link w:val="Examples"/>
    <w:rsid w:val="00DC47D0"/>
    <w:rPr>
      <w:noProof/>
      <w:color w:val="919DAC" w:themeColor="text2" w:themeTint="99"/>
      <w:sz w:val="20"/>
    </w:rPr>
  </w:style>
  <w:style w:type="paragraph" w:styleId="NormalWeb">
    <w:name w:val="Normal (Web)"/>
    <w:basedOn w:val="Normal"/>
    <w:uiPriority w:val="99"/>
    <w:semiHidden/>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3783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3783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783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783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783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783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FF66B2" w:themeColor="accent3" w:themeTint="99"/>
        <w:left w:val="single" w:sz="4" w:space="0" w:color="FF66B2" w:themeColor="accent3" w:themeTint="99"/>
        <w:bottom w:val="single" w:sz="4" w:space="0" w:color="FF66B2" w:themeColor="accent3" w:themeTint="99"/>
        <w:right w:val="single" w:sz="4" w:space="0" w:color="FF66B2" w:themeColor="accent3" w:themeTint="99"/>
        <w:insideH w:val="single" w:sz="4" w:space="0" w:color="FF66B2" w:themeColor="accent3" w:themeTint="99"/>
        <w:insideV w:val="single" w:sz="4" w:space="0" w:color="FF66B2" w:themeColor="accent3" w:themeTint="99"/>
      </w:tblBorders>
    </w:tblPr>
    <w:tblStylePr w:type="firstRow">
      <w:rPr>
        <w:b/>
        <w:bCs/>
        <w:color w:val="FFFFFF" w:themeColor="background1"/>
      </w:rPr>
      <w:tblPr/>
      <w:tcPr>
        <w:tcBorders>
          <w:top w:val="single" w:sz="4" w:space="0" w:color="FF007F" w:themeColor="accent3"/>
          <w:left w:val="single" w:sz="4" w:space="0" w:color="FF007F" w:themeColor="accent3"/>
          <w:bottom w:val="single" w:sz="4" w:space="0" w:color="FF007F" w:themeColor="accent3"/>
          <w:right w:val="single" w:sz="4" w:space="0" w:color="FF007F" w:themeColor="accent3"/>
          <w:insideH w:val="nil"/>
          <w:insideV w:val="nil"/>
        </w:tcBorders>
        <w:shd w:val="clear" w:color="auto" w:fill="FF007F" w:themeFill="accent3"/>
      </w:tcPr>
    </w:tblStylePr>
    <w:tblStylePr w:type="lastRow">
      <w:rPr>
        <w:b/>
        <w:bCs/>
      </w:rPr>
      <w:tblPr/>
      <w:tcPr>
        <w:tcBorders>
          <w:top w:val="double" w:sz="4" w:space="0" w:color="FF007F" w:themeColor="accent3"/>
        </w:tcBorders>
      </w:tcPr>
    </w:tblStylePr>
    <w:tblStylePr w:type="firstCol">
      <w:rPr>
        <w:b/>
        <w:bCs/>
      </w:rPr>
    </w:tblStylePr>
    <w:tblStylePr w:type="lastCol">
      <w:rPr>
        <w:b/>
        <w:bCs/>
      </w:rPr>
    </w:tblStylePr>
    <w:tblStylePr w:type="band1Vert">
      <w:tblPr/>
      <w:tcPr>
        <w:shd w:val="clear" w:color="auto" w:fill="FFCCE5" w:themeFill="accent3" w:themeFillTint="33"/>
      </w:tcPr>
    </w:tblStylePr>
    <w:tblStylePr w:type="band1Horz">
      <w:tblPr/>
      <w:tcPr>
        <w:shd w:val="clear" w:color="auto" w:fill="FFCCE5"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1F6CCB" w:themeColor="text1" w:themeTint="99"/>
        <w:left w:val="single" w:sz="4" w:space="0" w:color="1F6CCB" w:themeColor="text1" w:themeTint="99"/>
        <w:bottom w:val="single" w:sz="4" w:space="0" w:color="1F6CCB" w:themeColor="text1" w:themeTint="99"/>
        <w:right w:val="single" w:sz="4" w:space="0" w:color="1F6CCB" w:themeColor="text1" w:themeTint="99"/>
        <w:insideH w:val="single" w:sz="4" w:space="0" w:color="1F6CCB" w:themeColor="text1" w:themeTint="99"/>
        <w:insideV w:val="single" w:sz="4" w:space="0" w:color="1F6CCB" w:themeColor="text1" w:themeTint="99"/>
      </w:tblBorders>
    </w:tblPr>
    <w:tblStylePr w:type="firstRow">
      <w:rPr>
        <w:b/>
        <w:bCs/>
        <w:color w:val="FFFFFF" w:themeColor="background1"/>
      </w:rPr>
      <w:tblPr/>
      <w:tcPr>
        <w:tcBorders>
          <w:top w:val="single" w:sz="4" w:space="0" w:color="07182D" w:themeColor="text1"/>
          <w:left w:val="single" w:sz="4" w:space="0" w:color="07182D" w:themeColor="text1"/>
          <w:bottom w:val="single" w:sz="4" w:space="0" w:color="07182D" w:themeColor="text1"/>
          <w:right w:val="single" w:sz="4" w:space="0" w:color="07182D" w:themeColor="text1"/>
          <w:insideH w:val="nil"/>
          <w:insideV w:val="nil"/>
        </w:tcBorders>
        <w:shd w:val="clear" w:color="auto" w:fill="07182D" w:themeFill="text1"/>
      </w:tcPr>
    </w:tblStylePr>
    <w:tblStylePr w:type="lastRow">
      <w:rPr>
        <w:b/>
        <w:bCs/>
      </w:rPr>
      <w:tblPr/>
      <w:tcPr>
        <w:tcBorders>
          <w:top w:val="double" w:sz="4" w:space="0" w:color="07182D" w:themeColor="text1"/>
        </w:tcBorders>
      </w:tcPr>
    </w:tblStylePr>
    <w:tblStylePr w:type="firstCol">
      <w:rPr>
        <w:b/>
        <w:bCs/>
      </w:rPr>
    </w:tblStylePr>
    <w:tblStylePr w:type="lastCol">
      <w:rPr>
        <w:b/>
        <w:bCs/>
      </w:rPr>
    </w:tblStylePr>
    <w:tblStylePr w:type="band1Vert">
      <w:tblPr/>
      <w:tcPr>
        <w:shd w:val="clear" w:color="auto" w:fill="AFCDF2" w:themeFill="text1" w:themeFillTint="33"/>
      </w:tcPr>
    </w:tblStylePr>
    <w:tblStylePr w:type="band1Horz">
      <w:tblPr/>
      <w:tcPr>
        <w:shd w:val="clear" w:color="auto" w:fill="AFCDF2" w:themeFill="text1" w:themeFillTint="33"/>
      </w:tcPr>
    </w:tblStylePr>
  </w:style>
  <w:style w:type="paragraph" w:customStyle="1" w:styleId="CiscoTableRegular">
    <w:name w:val="Cisco Table Regular"/>
    <w:basedOn w:val="CiscoNormal"/>
    <w:link w:val="CiscoTableRegularChar"/>
    <w:autoRedefine/>
    <w:qFormat/>
    <w:rsid w:val="00A863D1"/>
    <w:rPr>
      <w:bCs/>
      <w:color w:val="000000"/>
      <w:sz w:val="18"/>
    </w:rPr>
  </w:style>
  <w:style w:type="character" w:customStyle="1" w:styleId="CiscoTableRegularChar">
    <w:name w:val="Cisco Table Regular Char"/>
    <w:basedOn w:val="CiscoNormalChar"/>
    <w:link w:val="CiscoTableRegular"/>
    <w:rsid w:val="00A863D1"/>
    <w:rPr>
      <w:bCs/>
      <w:noProof/>
      <w:color w:val="000000"/>
      <w:sz w:val="18"/>
    </w:rPr>
  </w:style>
  <w:style w:type="paragraph" w:customStyle="1" w:styleId="CiscoTableBold">
    <w:name w:val="Cisco Table Bold"/>
    <w:basedOn w:val="CiscoTableRegular"/>
    <w:link w:val="CiscoTableBoldChar"/>
    <w:autoRedefine/>
    <w:qFormat/>
    <w:rsid w:val="000E7548"/>
  </w:style>
  <w:style w:type="character" w:customStyle="1" w:styleId="CiscoTableBoldChar">
    <w:name w:val="Cisco Table Bold Char"/>
    <w:basedOn w:val="CiscoTableRegularChar"/>
    <w:link w:val="CiscoTableBold"/>
    <w:rsid w:val="000E7548"/>
    <w:rPr>
      <w:rFonts w:ascii="Aptos Narrow" w:hAnsi="Aptos Narrow"/>
      <w:bCs/>
      <w:noProof/>
      <w:color w:val="000000"/>
      <w:sz w:val="16"/>
    </w:rPr>
  </w:style>
  <w:style w:type="paragraph" w:styleId="Caption">
    <w:name w:val="caption"/>
    <w:basedOn w:val="Normal"/>
    <w:next w:val="Normal"/>
    <w:uiPriority w:val="35"/>
    <w:unhideWhenUsed/>
    <w:qFormat/>
    <w:rsid w:val="0020216D"/>
    <w:pPr>
      <w:spacing w:after="200" w:line="240" w:lineRule="auto"/>
    </w:pPr>
    <w:rPr>
      <w:i/>
      <w:iCs/>
      <w:color w:val="525E6C" w:themeColor="text2"/>
      <w:sz w:val="18"/>
      <w:szCs w:val="18"/>
    </w:rPr>
  </w:style>
  <w:style w:type="table" w:styleId="GridTable4-Accent2">
    <w:name w:val="Grid Table 4 Accent 2"/>
    <w:basedOn w:val="TableNormal"/>
    <w:uiPriority w:val="49"/>
    <w:rsid w:val="002C337E"/>
    <w:pPr>
      <w:spacing w:after="0" w:line="240" w:lineRule="auto"/>
    </w:pPr>
    <w:tblPr>
      <w:tblStyleRowBandSize w:val="1"/>
      <w:tblStyleColBandSize w:val="1"/>
      <w:tblBorders>
        <w:top w:val="single" w:sz="4" w:space="0" w:color="6C9FFF" w:themeColor="accent2" w:themeTint="99"/>
        <w:left w:val="single" w:sz="4" w:space="0" w:color="6C9FFF" w:themeColor="accent2" w:themeTint="99"/>
        <w:bottom w:val="single" w:sz="4" w:space="0" w:color="6C9FFF" w:themeColor="accent2" w:themeTint="99"/>
        <w:right w:val="single" w:sz="4" w:space="0" w:color="6C9FFF" w:themeColor="accent2" w:themeTint="99"/>
        <w:insideH w:val="single" w:sz="4" w:space="0" w:color="6C9FFF" w:themeColor="accent2" w:themeTint="99"/>
        <w:insideV w:val="single" w:sz="4" w:space="0" w:color="6C9FFF" w:themeColor="accent2" w:themeTint="99"/>
      </w:tblBorders>
    </w:tblPr>
    <w:tblStylePr w:type="firstRow">
      <w:rPr>
        <w:b/>
        <w:bCs/>
        <w:color w:val="FFFFFF" w:themeColor="background1"/>
      </w:rPr>
      <w:tblPr/>
      <w:tcPr>
        <w:tcBorders>
          <w:top w:val="single" w:sz="4" w:space="0" w:color="0A60FF" w:themeColor="accent2"/>
          <w:left w:val="single" w:sz="4" w:space="0" w:color="0A60FF" w:themeColor="accent2"/>
          <w:bottom w:val="single" w:sz="4" w:space="0" w:color="0A60FF" w:themeColor="accent2"/>
          <w:right w:val="single" w:sz="4" w:space="0" w:color="0A60FF" w:themeColor="accent2"/>
          <w:insideH w:val="nil"/>
          <w:insideV w:val="nil"/>
        </w:tcBorders>
        <w:shd w:val="clear" w:color="auto" w:fill="0A60FF" w:themeFill="accent2"/>
      </w:tcPr>
    </w:tblStylePr>
    <w:tblStylePr w:type="lastRow">
      <w:rPr>
        <w:b/>
        <w:bCs/>
      </w:rPr>
      <w:tblPr/>
      <w:tcPr>
        <w:tcBorders>
          <w:top w:val="double" w:sz="4" w:space="0" w:color="0A60FF" w:themeColor="accent2"/>
        </w:tcBorders>
      </w:tcPr>
    </w:tblStylePr>
    <w:tblStylePr w:type="firstCol">
      <w:rPr>
        <w:b/>
        <w:bCs/>
      </w:rPr>
    </w:tblStylePr>
    <w:tblStylePr w:type="lastCol">
      <w:rPr>
        <w:b/>
        <w:bCs/>
      </w:rPr>
    </w:tblStylePr>
    <w:tblStylePr w:type="band1Vert">
      <w:tblPr/>
      <w:tcPr>
        <w:shd w:val="clear" w:color="auto" w:fill="CEDFFF" w:themeFill="accent2" w:themeFillTint="33"/>
      </w:tcPr>
    </w:tblStylePr>
    <w:tblStylePr w:type="band1Horz">
      <w:tblPr/>
      <w:tcPr>
        <w:shd w:val="clear" w:color="auto" w:fill="CEDFFF" w:themeFill="accent2" w:themeFillTint="33"/>
      </w:tcPr>
    </w:tblStylePr>
  </w:style>
  <w:style w:type="table" w:styleId="ListTable3-Accent2">
    <w:name w:val="List Table 3 Accent 2"/>
    <w:basedOn w:val="TableNormal"/>
    <w:uiPriority w:val="48"/>
    <w:rsid w:val="002C337E"/>
    <w:pPr>
      <w:spacing w:after="0" w:line="240" w:lineRule="auto"/>
    </w:pPr>
    <w:tblPr>
      <w:tblStyleRowBandSize w:val="1"/>
      <w:tblStyleColBandSize w:val="1"/>
      <w:tblBorders>
        <w:top w:val="single" w:sz="4" w:space="0" w:color="0A60FF" w:themeColor="accent2"/>
        <w:left w:val="single" w:sz="4" w:space="0" w:color="0A60FF" w:themeColor="accent2"/>
        <w:bottom w:val="single" w:sz="4" w:space="0" w:color="0A60FF" w:themeColor="accent2"/>
        <w:right w:val="single" w:sz="4" w:space="0" w:color="0A60FF" w:themeColor="accent2"/>
      </w:tblBorders>
    </w:tblPr>
    <w:tblStylePr w:type="firstRow">
      <w:rPr>
        <w:b/>
        <w:bCs/>
        <w:color w:val="FFFFFF" w:themeColor="background1"/>
      </w:rPr>
      <w:tblPr/>
      <w:tcPr>
        <w:shd w:val="clear" w:color="auto" w:fill="0A60FF" w:themeFill="accent2"/>
      </w:tcPr>
    </w:tblStylePr>
    <w:tblStylePr w:type="lastRow">
      <w:rPr>
        <w:b/>
        <w:bCs/>
      </w:rPr>
      <w:tblPr/>
      <w:tcPr>
        <w:tcBorders>
          <w:top w:val="double" w:sz="4" w:space="0" w:color="0A60F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60FF" w:themeColor="accent2"/>
          <w:right w:val="single" w:sz="4" w:space="0" w:color="0A60FF" w:themeColor="accent2"/>
        </w:tcBorders>
      </w:tcPr>
    </w:tblStylePr>
    <w:tblStylePr w:type="band1Horz">
      <w:tblPr/>
      <w:tcPr>
        <w:tcBorders>
          <w:top w:val="single" w:sz="4" w:space="0" w:color="0A60FF" w:themeColor="accent2"/>
          <w:bottom w:val="single" w:sz="4" w:space="0" w:color="0A60F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60FF" w:themeColor="accent2"/>
          <w:left w:val="nil"/>
        </w:tcBorders>
      </w:tcPr>
    </w:tblStylePr>
    <w:tblStylePr w:type="swCell">
      <w:tblPr/>
      <w:tcPr>
        <w:tcBorders>
          <w:top w:val="double" w:sz="4" w:space="0" w:color="0A60FF" w:themeColor="accent2"/>
          <w:right w:val="nil"/>
        </w:tcBorders>
      </w:tcPr>
    </w:tblStylePr>
  </w:style>
  <w:style w:type="paragraph" w:customStyle="1" w:styleId="CiscoSubHeading">
    <w:name w:val="Cisco Sub Heading"/>
    <w:basedOn w:val="Normal"/>
    <w:link w:val="CiscoSubHeadingChar"/>
    <w:autoRedefine/>
    <w:qFormat/>
    <w:rsid w:val="00333236"/>
    <w:pPr>
      <w:spacing w:before="120" w:after="120"/>
    </w:pPr>
    <w:rPr>
      <w:b/>
      <w:i/>
      <w:color w:val="0A60FF" w:themeColor="accent2"/>
      <w:sz w:val="24"/>
    </w:rPr>
  </w:style>
  <w:style w:type="character" w:customStyle="1" w:styleId="CiscoSubHeadingChar">
    <w:name w:val="Cisco Sub Heading Char"/>
    <w:basedOn w:val="DefaultParagraphFont"/>
    <w:link w:val="CiscoSubHeading"/>
    <w:rsid w:val="00333236"/>
    <w:rPr>
      <w:b/>
      <w:i/>
      <w:color w:val="0A60FF" w:themeColor="accent2"/>
      <w:sz w:val="24"/>
    </w:rPr>
  </w:style>
  <w:style w:type="character" w:styleId="SubtleReference">
    <w:name w:val="Subtle Reference"/>
    <w:basedOn w:val="DefaultParagraphFont"/>
    <w:uiPriority w:val="31"/>
    <w:qFormat/>
    <w:rsid w:val="006927BB"/>
    <w:rPr>
      <w:smallCaps/>
      <w:color w:val="1C62B8" w:themeColor="text1" w:themeTint="A5"/>
    </w:rPr>
  </w:style>
  <w:style w:type="paragraph" w:customStyle="1" w:styleId="CiscoBulletPoint">
    <w:name w:val="Cisco Bullet Point"/>
    <w:basedOn w:val="Normal"/>
    <w:link w:val="CiscoBulletPointChar"/>
    <w:autoRedefine/>
    <w:qFormat/>
    <w:rsid w:val="00DB6691"/>
    <w:pPr>
      <w:numPr>
        <w:numId w:val="14"/>
      </w:numPr>
      <w:spacing w:after="0" w:line="278" w:lineRule="auto"/>
    </w:pPr>
    <w:rPr>
      <w:bCs/>
      <w:noProof/>
      <w:kern w:val="0"/>
      <w:sz w:val="18"/>
    </w:rPr>
  </w:style>
  <w:style w:type="character" w:customStyle="1" w:styleId="CiscoBulletPointChar">
    <w:name w:val="Cisco Bullet Point Char"/>
    <w:basedOn w:val="DefaultParagraphFont"/>
    <w:link w:val="CiscoBulletPoint"/>
    <w:rsid w:val="00DB6691"/>
    <w:rPr>
      <w:bCs/>
      <w:noProof/>
      <w:kern w:val="0"/>
      <w:sz w:val="18"/>
    </w:rPr>
  </w:style>
  <w:style w:type="character" w:styleId="SubtleEmphasis">
    <w:name w:val="Subtle Emphasis"/>
    <w:basedOn w:val="DefaultParagraphFont"/>
    <w:uiPriority w:val="19"/>
    <w:qFormat/>
    <w:rsid w:val="00662D10"/>
    <w:rPr>
      <w:i/>
      <w:iCs/>
      <w:color w:val="164C90" w:themeColor="text1" w:themeTint="BF"/>
    </w:rPr>
  </w:style>
  <w:style w:type="table" w:styleId="GridTable5Dark-Accent2">
    <w:name w:val="Grid Table 5 Dark Accent 2"/>
    <w:basedOn w:val="TableNormal"/>
    <w:uiPriority w:val="50"/>
    <w:rsid w:val="009731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F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60F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60F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60F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60FF" w:themeFill="accent2"/>
      </w:tcPr>
    </w:tblStylePr>
    <w:tblStylePr w:type="band1Vert">
      <w:tblPr/>
      <w:tcPr>
        <w:shd w:val="clear" w:color="auto" w:fill="9DBFFF" w:themeFill="accent2" w:themeFillTint="66"/>
      </w:tcPr>
    </w:tblStylePr>
    <w:tblStylePr w:type="band1Horz">
      <w:tblPr/>
      <w:tcPr>
        <w:shd w:val="clear" w:color="auto" w:fill="9DBFFF" w:themeFill="accent2" w:themeFillTint="66"/>
      </w:tcPr>
    </w:tblStylePr>
  </w:style>
  <w:style w:type="paragraph" w:customStyle="1" w:styleId="CiscoBoldBullet">
    <w:name w:val="Cisco Bold Bullet"/>
    <w:basedOn w:val="CiscoListParagraph"/>
    <w:link w:val="CiscoBoldBulletChar"/>
    <w:autoRedefine/>
    <w:qFormat/>
    <w:rsid w:val="005C6513"/>
    <w:rPr>
      <w:b/>
    </w:rPr>
  </w:style>
  <w:style w:type="character" w:customStyle="1" w:styleId="CiscoBoldBulletChar">
    <w:name w:val="Cisco Bold Bullet Char"/>
    <w:basedOn w:val="CiscoListParagraphChar"/>
    <w:link w:val="CiscoBoldBullet"/>
    <w:rsid w:val="005C6513"/>
    <w:rPr>
      <w:b/>
      <w:noProof/>
      <w:sz w:val="18"/>
    </w:rPr>
  </w:style>
  <w:style w:type="paragraph" w:customStyle="1" w:styleId="NonTOCHeader">
    <w:name w:val="Non TOC Header"/>
    <w:basedOn w:val="CiscoHeading"/>
    <w:link w:val="NonTOCHeaderChar"/>
    <w:autoRedefine/>
    <w:qFormat/>
    <w:rsid w:val="009C31FB"/>
    <w:pPr>
      <w:numPr>
        <w:numId w:val="0"/>
      </w:numPr>
      <w:outlineLvl w:val="9"/>
    </w:pPr>
  </w:style>
  <w:style w:type="character" w:customStyle="1" w:styleId="NonTOCHeaderChar">
    <w:name w:val="Non TOC Header Char"/>
    <w:basedOn w:val="CiscoHeadingChar"/>
    <w:link w:val="NonTOCHeader"/>
    <w:rsid w:val="009C31FB"/>
    <w:rPr>
      <w:rFonts w:ascii="CiscoSansCHS Bold" w:eastAsia="CiscoSansCHS Bold" w:hAnsi="CiscoSansCHS Bold" w:cs="CiscoSansTT"/>
      <w:b/>
      <w:color w:val="B4B9C0" w:themeColor="background2"/>
      <w:sz w:val="32"/>
      <w:szCs w:val="32"/>
    </w:rPr>
  </w:style>
  <w:style w:type="table" w:styleId="GridTable5Dark-Accent5">
    <w:name w:val="Grid Table 5 Dark Accent 5"/>
    <w:basedOn w:val="TableNormal"/>
    <w:uiPriority w:val="50"/>
    <w:rsid w:val="00D926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6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D6D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D6D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D6D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D6D6" w:themeFill="accent5"/>
      </w:tcPr>
    </w:tblStylePr>
    <w:tblStylePr w:type="band1Vert">
      <w:tblPr/>
      <w:tcPr>
        <w:shd w:val="clear" w:color="auto" w:fill="EEEEEE" w:themeFill="accent5" w:themeFillTint="66"/>
      </w:tcPr>
    </w:tblStylePr>
    <w:tblStylePr w:type="band1Horz">
      <w:tblPr/>
      <w:tcPr>
        <w:shd w:val="clear" w:color="auto" w:fill="EEEEEE" w:themeFill="accent5" w:themeFillTint="66"/>
      </w:tcPr>
    </w:tblStylePr>
  </w:style>
  <w:style w:type="table" w:styleId="GridTable6Colorful-Accent6">
    <w:name w:val="Grid Table 6 Colorful Accent 6"/>
    <w:basedOn w:val="TableNormal"/>
    <w:uiPriority w:val="51"/>
    <w:rsid w:val="00062C6A"/>
    <w:pPr>
      <w:spacing w:after="0" w:line="240" w:lineRule="auto"/>
    </w:pPr>
    <w:rPr>
      <w:color w:val="505050" w:themeColor="accent6" w:themeShade="BF"/>
    </w:rPr>
    <w:tblPr>
      <w:tblStyleRowBandSize w:val="1"/>
      <w:tblStyleColBandSize w:val="1"/>
      <w:tblBorders>
        <w:top w:val="single" w:sz="4" w:space="0" w:color="A6A6A6" w:themeColor="accent6" w:themeTint="99"/>
        <w:left w:val="single" w:sz="4" w:space="0" w:color="A6A6A6" w:themeColor="accent6" w:themeTint="99"/>
        <w:bottom w:val="single" w:sz="4" w:space="0" w:color="A6A6A6" w:themeColor="accent6" w:themeTint="99"/>
        <w:right w:val="single" w:sz="4" w:space="0" w:color="A6A6A6" w:themeColor="accent6" w:themeTint="99"/>
        <w:insideH w:val="single" w:sz="4" w:space="0" w:color="A6A6A6" w:themeColor="accent6" w:themeTint="99"/>
        <w:insideV w:val="single" w:sz="4" w:space="0" w:color="A6A6A6" w:themeColor="accent6" w:themeTint="99"/>
      </w:tblBorders>
    </w:tblPr>
    <w:tblStylePr w:type="firstRow">
      <w:rPr>
        <w:b/>
        <w:bCs/>
      </w:rPr>
      <w:tblPr/>
      <w:tcPr>
        <w:tcBorders>
          <w:bottom w:val="single" w:sz="12" w:space="0" w:color="A6A6A6" w:themeColor="accent6" w:themeTint="99"/>
        </w:tcBorders>
      </w:tcPr>
    </w:tblStylePr>
    <w:tblStylePr w:type="lastRow">
      <w:rPr>
        <w:b/>
        <w:bCs/>
      </w:rPr>
      <w:tblPr/>
      <w:tcPr>
        <w:tcBorders>
          <w:top w:val="double" w:sz="4" w:space="0" w:color="A6A6A6" w:themeColor="accent6" w:themeTint="99"/>
        </w:tcBorders>
      </w:tcPr>
    </w:tblStylePr>
    <w:tblStylePr w:type="firstCol">
      <w:rPr>
        <w:b/>
        <w:bCs/>
      </w:rPr>
    </w:tblStylePr>
    <w:tblStylePr w:type="lastCol">
      <w:rPr>
        <w:b/>
        <w:bCs/>
      </w:rPr>
    </w:tblStylePr>
    <w:tblStylePr w:type="band1Vert">
      <w:tblPr/>
      <w:tcPr>
        <w:shd w:val="clear" w:color="auto" w:fill="E1E1E1" w:themeFill="accent6" w:themeFillTint="33"/>
      </w:tcPr>
    </w:tblStylePr>
    <w:tblStylePr w:type="band1Horz">
      <w:tblPr/>
      <w:tcPr>
        <w:shd w:val="clear" w:color="auto" w:fill="E1E1E1" w:themeFill="accent6" w:themeFillTint="33"/>
      </w:tcPr>
    </w:tblStylePr>
  </w:style>
  <w:style w:type="table" w:styleId="ListTable5Dark-Accent6">
    <w:name w:val="List Table 5 Dark Accent 6"/>
    <w:basedOn w:val="TableNormal"/>
    <w:uiPriority w:val="50"/>
    <w:rsid w:val="00156852"/>
    <w:pPr>
      <w:spacing w:after="0" w:line="240" w:lineRule="auto"/>
    </w:pPr>
    <w:rPr>
      <w:color w:val="FFFFFF" w:themeColor="background1"/>
    </w:rPr>
    <w:tblPr>
      <w:tblStyleRowBandSize w:val="1"/>
      <w:tblStyleColBandSize w:val="1"/>
      <w:tblBorders>
        <w:top w:val="single" w:sz="24" w:space="0" w:color="6B6B6B" w:themeColor="accent6"/>
        <w:left w:val="single" w:sz="24" w:space="0" w:color="6B6B6B" w:themeColor="accent6"/>
        <w:bottom w:val="single" w:sz="24" w:space="0" w:color="6B6B6B" w:themeColor="accent6"/>
        <w:right w:val="single" w:sz="24" w:space="0" w:color="6B6B6B" w:themeColor="accent6"/>
      </w:tblBorders>
    </w:tblPr>
    <w:tcPr>
      <w:shd w:val="clear" w:color="auto" w:fill="6B6B6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6">
    <w:name w:val="Grid Table 5 Dark Accent 6"/>
    <w:basedOn w:val="TableNormal"/>
    <w:uiPriority w:val="50"/>
    <w:rsid w:val="001568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B6B6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B6B6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B6B6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B6B6B" w:themeFill="accent6"/>
      </w:tcPr>
    </w:tblStylePr>
    <w:tblStylePr w:type="band1Vert">
      <w:tblPr/>
      <w:tcPr>
        <w:shd w:val="clear" w:color="auto" w:fill="C3C3C3" w:themeFill="accent6" w:themeFillTint="66"/>
      </w:tcPr>
    </w:tblStylePr>
    <w:tblStylePr w:type="band1Horz">
      <w:tblPr/>
      <w:tcPr>
        <w:shd w:val="clear" w:color="auto" w:fill="C3C3C3" w:themeFill="accent6" w:themeFillTint="66"/>
      </w:tcPr>
    </w:tblStylePr>
  </w:style>
  <w:style w:type="paragraph" w:styleId="ListBullet">
    <w:name w:val="List Bullet"/>
    <w:basedOn w:val="Normal"/>
    <w:uiPriority w:val="99"/>
    <w:unhideWhenUsed/>
    <w:rsid w:val="005B4861"/>
    <w:pPr>
      <w:numPr>
        <w:numId w:val="17"/>
      </w:numPr>
      <w:tabs>
        <w:tab w:val="clear" w:pos="360"/>
      </w:tabs>
      <w:spacing w:after="200" w:line="276" w:lineRule="auto"/>
      <w:ind w:left="0" w:firstLine="0"/>
      <w:contextualSpacing/>
    </w:pPr>
    <w:rPr>
      <w:rFonts w:asciiTheme="minorHAnsi" w:eastAsiaTheme="minorEastAsia" w:hAnsiTheme="minorHAnsi"/>
      <w:kern w:val="0"/>
      <w:lang w:val="en-US"/>
      <w14:ligatures w14:val="none"/>
    </w:rPr>
  </w:style>
  <w:style w:type="character" w:styleId="BookTitle">
    <w:name w:val="Book Title"/>
    <w:basedOn w:val="DefaultParagraphFont"/>
    <w:uiPriority w:val="33"/>
    <w:qFormat/>
    <w:rsid w:val="005E0331"/>
    <w:rPr>
      <w:rFonts w:ascii="CiscoSansTT" w:hAnsi="CiscoSansTT"/>
      <w:b/>
      <w:bCs/>
      <w:i/>
      <w:iCs/>
      <w:spacing w:val="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13464">
      <w:bodyDiv w:val="1"/>
      <w:marLeft w:val="0"/>
      <w:marRight w:val="0"/>
      <w:marTop w:val="0"/>
      <w:marBottom w:val="0"/>
      <w:divBdr>
        <w:top w:val="none" w:sz="0" w:space="0" w:color="auto"/>
        <w:left w:val="none" w:sz="0" w:space="0" w:color="auto"/>
        <w:bottom w:val="none" w:sz="0" w:space="0" w:color="auto"/>
        <w:right w:val="none" w:sz="0" w:space="0" w:color="auto"/>
      </w:divBdr>
      <w:divsChild>
        <w:div w:id="1257593846">
          <w:marLeft w:val="0"/>
          <w:marRight w:val="0"/>
          <w:marTop w:val="0"/>
          <w:marBottom w:val="0"/>
          <w:divBdr>
            <w:top w:val="none" w:sz="0" w:space="0" w:color="auto"/>
            <w:left w:val="none" w:sz="0" w:space="0" w:color="auto"/>
            <w:bottom w:val="none" w:sz="0" w:space="0" w:color="auto"/>
            <w:right w:val="none" w:sz="0" w:space="0" w:color="auto"/>
          </w:divBdr>
        </w:div>
      </w:divsChild>
    </w:div>
    <w:div w:id="941719034">
      <w:marLeft w:val="0"/>
      <w:marRight w:val="0"/>
      <w:marTop w:val="0"/>
      <w:marBottom w:val="0"/>
      <w:divBdr>
        <w:top w:val="none" w:sz="0" w:space="0" w:color="auto"/>
        <w:left w:val="none" w:sz="0" w:space="0" w:color="auto"/>
        <w:bottom w:val="none" w:sz="0" w:space="0" w:color="auto"/>
        <w:right w:val="none" w:sz="0" w:space="0" w:color="auto"/>
      </w:divBdr>
    </w:div>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isco FY26">
      <a:dk1>
        <a:srgbClr val="07182D"/>
      </a:dk1>
      <a:lt1>
        <a:srgbClr val="FFFFFF"/>
      </a:lt1>
      <a:dk2>
        <a:srgbClr val="525E6C"/>
      </a:dk2>
      <a:lt2>
        <a:srgbClr val="B4B9C0"/>
      </a:lt2>
      <a:accent1>
        <a:srgbClr val="02C8FF"/>
      </a:accent1>
      <a:accent2>
        <a:srgbClr val="0A60FF"/>
      </a:accent2>
      <a:accent3>
        <a:srgbClr val="FF007F"/>
      </a:accent3>
      <a:accent4>
        <a:srgbClr val="FF9000"/>
      </a:accent4>
      <a:accent5>
        <a:srgbClr val="D6D6D6"/>
      </a:accent5>
      <a:accent6>
        <a:srgbClr val="6B6B6B"/>
      </a:accent6>
      <a:hlink>
        <a:srgbClr val="07182D"/>
      </a:hlink>
      <a:folHlink>
        <a:srgbClr val="C0C0C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&lt;Add in a high-level summary of the purpose of the document&gt;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3.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customXml/itemProps4.xml><?xml version="1.0" encoding="utf-8"?>
<ds:datastoreItem xmlns:ds="http://schemas.openxmlformats.org/officeDocument/2006/customXml" ds:itemID="{C3501AB7-CDE7-48E2-B95B-F7A7F1D8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28</TotalTime>
  <Pages>6</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Links>
    <vt:vector size="204" baseType="variant">
      <vt:variant>
        <vt:i4>1441849</vt:i4>
      </vt:variant>
      <vt:variant>
        <vt:i4>200</vt:i4>
      </vt:variant>
      <vt:variant>
        <vt:i4>0</vt:i4>
      </vt:variant>
      <vt:variant>
        <vt:i4>5</vt:i4>
      </vt:variant>
      <vt:variant>
        <vt:lpwstr/>
      </vt:variant>
      <vt:variant>
        <vt:lpwstr>_Toc238045774</vt:lpwstr>
      </vt:variant>
      <vt:variant>
        <vt:i4>1441849</vt:i4>
      </vt:variant>
      <vt:variant>
        <vt:i4>194</vt:i4>
      </vt:variant>
      <vt:variant>
        <vt:i4>0</vt:i4>
      </vt:variant>
      <vt:variant>
        <vt:i4>5</vt:i4>
      </vt:variant>
      <vt:variant>
        <vt:lpwstr/>
      </vt:variant>
      <vt:variant>
        <vt:lpwstr>_Toc238045773</vt:lpwstr>
      </vt:variant>
      <vt:variant>
        <vt:i4>1441849</vt:i4>
      </vt:variant>
      <vt:variant>
        <vt:i4>188</vt:i4>
      </vt:variant>
      <vt:variant>
        <vt:i4>0</vt:i4>
      </vt:variant>
      <vt:variant>
        <vt:i4>5</vt:i4>
      </vt:variant>
      <vt:variant>
        <vt:lpwstr/>
      </vt:variant>
      <vt:variant>
        <vt:lpwstr>_Toc238045772</vt:lpwstr>
      </vt:variant>
      <vt:variant>
        <vt:i4>1441849</vt:i4>
      </vt:variant>
      <vt:variant>
        <vt:i4>182</vt:i4>
      </vt:variant>
      <vt:variant>
        <vt:i4>0</vt:i4>
      </vt:variant>
      <vt:variant>
        <vt:i4>5</vt:i4>
      </vt:variant>
      <vt:variant>
        <vt:lpwstr/>
      </vt:variant>
      <vt:variant>
        <vt:lpwstr>_Toc238045771</vt:lpwstr>
      </vt:variant>
      <vt:variant>
        <vt:i4>1441849</vt:i4>
      </vt:variant>
      <vt:variant>
        <vt:i4>176</vt:i4>
      </vt:variant>
      <vt:variant>
        <vt:i4>0</vt:i4>
      </vt:variant>
      <vt:variant>
        <vt:i4>5</vt:i4>
      </vt:variant>
      <vt:variant>
        <vt:lpwstr/>
      </vt:variant>
      <vt:variant>
        <vt:lpwstr>_Toc238045770</vt:lpwstr>
      </vt:variant>
      <vt:variant>
        <vt:i4>1507385</vt:i4>
      </vt:variant>
      <vt:variant>
        <vt:i4>170</vt:i4>
      </vt:variant>
      <vt:variant>
        <vt:i4>0</vt:i4>
      </vt:variant>
      <vt:variant>
        <vt:i4>5</vt:i4>
      </vt:variant>
      <vt:variant>
        <vt:lpwstr/>
      </vt:variant>
      <vt:variant>
        <vt:lpwstr>_Toc238045769</vt:lpwstr>
      </vt:variant>
      <vt:variant>
        <vt:i4>1507385</vt:i4>
      </vt:variant>
      <vt:variant>
        <vt:i4>164</vt:i4>
      </vt:variant>
      <vt:variant>
        <vt:i4>0</vt:i4>
      </vt:variant>
      <vt:variant>
        <vt:i4>5</vt:i4>
      </vt:variant>
      <vt:variant>
        <vt:lpwstr/>
      </vt:variant>
      <vt:variant>
        <vt:lpwstr>_Toc238045768</vt:lpwstr>
      </vt:variant>
      <vt:variant>
        <vt:i4>1507385</vt:i4>
      </vt:variant>
      <vt:variant>
        <vt:i4>158</vt:i4>
      </vt:variant>
      <vt:variant>
        <vt:i4>0</vt:i4>
      </vt:variant>
      <vt:variant>
        <vt:i4>5</vt:i4>
      </vt:variant>
      <vt:variant>
        <vt:lpwstr/>
      </vt:variant>
      <vt:variant>
        <vt:lpwstr>_Toc238045767</vt:lpwstr>
      </vt:variant>
      <vt:variant>
        <vt:i4>1507385</vt:i4>
      </vt:variant>
      <vt:variant>
        <vt:i4>152</vt:i4>
      </vt:variant>
      <vt:variant>
        <vt:i4>0</vt:i4>
      </vt:variant>
      <vt:variant>
        <vt:i4>5</vt:i4>
      </vt:variant>
      <vt:variant>
        <vt:lpwstr/>
      </vt:variant>
      <vt:variant>
        <vt:lpwstr>_Toc238045766</vt:lpwstr>
      </vt:variant>
      <vt:variant>
        <vt:i4>1507385</vt:i4>
      </vt:variant>
      <vt:variant>
        <vt:i4>146</vt:i4>
      </vt:variant>
      <vt:variant>
        <vt:i4>0</vt:i4>
      </vt:variant>
      <vt:variant>
        <vt:i4>5</vt:i4>
      </vt:variant>
      <vt:variant>
        <vt:lpwstr/>
      </vt:variant>
      <vt:variant>
        <vt:lpwstr>_Toc238045765</vt:lpwstr>
      </vt:variant>
      <vt:variant>
        <vt:i4>1507385</vt:i4>
      </vt:variant>
      <vt:variant>
        <vt:i4>140</vt:i4>
      </vt:variant>
      <vt:variant>
        <vt:i4>0</vt:i4>
      </vt:variant>
      <vt:variant>
        <vt:i4>5</vt:i4>
      </vt:variant>
      <vt:variant>
        <vt:lpwstr/>
      </vt:variant>
      <vt:variant>
        <vt:lpwstr>_Toc238045764</vt:lpwstr>
      </vt:variant>
      <vt:variant>
        <vt:i4>1507385</vt:i4>
      </vt:variant>
      <vt:variant>
        <vt:i4>134</vt:i4>
      </vt:variant>
      <vt:variant>
        <vt:i4>0</vt:i4>
      </vt:variant>
      <vt:variant>
        <vt:i4>5</vt:i4>
      </vt:variant>
      <vt:variant>
        <vt:lpwstr/>
      </vt:variant>
      <vt:variant>
        <vt:lpwstr>_Toc238045763</vt:lpwstr>
      </vt:variant>
      <vt:variant>
        <vt:i4>1507385</vt:i4>
      </vt:variant>
      <vt:variant>
        <vt:i4>128</vt:i4>
      </vt:variant>
      <vt:variant>
        <vt:i4>0</vt:i4>
      </vt:variant>
      <vt:variant>
        <vt:i4>5</vt:i4>
      </vt:variant>
      <vt:variant>
        <vt:lpwstr/>
      </vt:variant>
      <vt:variant>
        <vt:lpwstr>_Toc238045762</vt:lpwstr>
      </vt:variant>
      <vt:variant>
        <vt:i4>1507385</vt:i4>
      </vt:variant>
      <vt:variant>
        <vt:i4>122</vt:i4>
      </vt:variant>
      <vt:variant>
        <vt:i4>0</vt:i4>
      </vt:variant>
      <vt:variant>
        <vt:i4>5</vt:i4>
      </vt:variant>
      <vt:variant>
        <vt:lpwstr/>
      </vt:variant>
      <vt:variant>
        <vt:lpwstr>_Toc238045761</vt:lpwstr>
      </vt:variant>
      <vt:variant>
        <vt:i4>1507385</vt:i4>
      </vt:variant>
      <vt:variant>
        <vt:i4>116</vt:i4>
      </vt:variant>
      <vt:variant>
        <vt:i4>0</vt:i4>
      </vt:variant>
      <vt:variant>
        <vt:i4>5</vt:i4>
      </vt:variant>
      <vt:variant>
        <vt:lpwstr/>
      </vt:variant>
      <vt:variant>
        <vt:lpwstr>_Toc238045760</vt:lpwstr>
      </vt:variant>
      <vt:variant>
        <vt:i4>1310777</vt:i4>
      </vt:variant>
      <vt:variant>
        <vt:i4>110</vt:i4>
      </vt:variant>
      <vt:variant>
        <vt:i4>0</vt:i4>
      </vt:variant>
      <vt:variant>
        <vt:i4>5</vt:i4>
      </vt:variant>
      <vt:variant>
        <vt:lpwstr/>
      </vt:variant>
      <vt:variant>
        <vt:lpwstr>_Toc238045759</vt:lpwstr>
      </vt:variant>
      <vt:variant>
        <vt:i4>1310777</vt:i4>
      </vt:variant>
      <vt:variant>
        <vt:i4>104</vt:i4>
      </vt:variant>
      <vt:variant>
        <vt:i4>0</vt:i4>
      </vt:variant>
      <vt:variant>
        <vt:i4>5</vt:i4>
      </vt:variant>
      <vt:variant>
        <vt:lpwstr/>
      </vt:variant>
      <vt:variant>
        <vt:lpwstr>_Toc238045758</vt:lpwstr>
      </vt:variant>
      <vt:variant>
        <vt:i4>1310777</vt:i4>
      </vt:variant>
      <vt:variant>
        <vt:i4>98</vt:i4>
      </vt:variant>
      <vt:variant>
        <vt:i4>0</vt:i4>
      </vt:variant>
      <vt:variant>
        <vt:i4>5</vt:i4>
      </vt:variant>
      <vt:variant>
        <vt:lpwstr/>
      </vt:variant>
      <vt:variant>
        <vt:lpwstr>_Toc238045757</vt:lpwstr>
      </vt:variant>
      <vt:variant>
        <vt:i4>1310777</vt:i4>
      </vt:variant>
      <vt:variant>
        <vt:i4>92</vt:i4>
      </vt:variant>
      <vt:variant>
        <vt:i4>0</vt:i4>
      </vt:variant>
      <vt:variant>
        <vt:i4>5</vt:i4>
      </vt:variant>
      <vt:variant>
        <vt:lpwstr/>
      </vt:variant>
      <vt:variant>
        <vt:lpwstr>_Toc238045756</vt:lpwstr>
      </vt:variant>
      <vt:variant>
        <vt:i4>1310777</vt:i4>
      </vt:variant>
      <vt:variant>
        <vt:i4>86</vt:i4>
      </vt:variant>
      <vt:variant>
        <vt:i4>0</vt:i4>
      </vt:variant>
      <vt:variant>
        <vt:i4>5</vt:i4>
      </vt:variant>
      <vt:variant>
        <vt:lpwstr/>
      </vt:variant>
      <vt:variant>
        <vt:lpwstr>_Toc238045755</vt:lpwstr>
      </vt:variant>
      <vt:variant>
        <vt:i4>1310777</vt:i4>
      </vt:variant>
      <vt:variant>
        <vt:i4>80</vt:i4>
      </vt:variant>
      <vt:variant>
        <vt:i4>0</vt:i4>
      </vt:variant>
      <vt:variant>
        <vt:i4>5</vt:i4>
      </vt:variant>
      <vt:variant>
        <vt:lpwstr/>
      </vt:variant>
      <vt:variant>
        <vt:lpwstr>_Toc238045754</vt:lpwstr>
      </vt:variant>
      <vt:variant>
        <vt:i4>1310777</vt:i4>
      </vt:variant>
      <vt:variant>
        <vt:i4>74</vt:i4>
      </vt:variant>
      <vt:variant>
        <vt:i4>0</vt:i4>
      </vt:variant>
      <vt:variant>
        <vt:i4>5</vt:i4>
      </vt:variant>
      <vt:variant>
        <vt:lpwstr/>
      </vt:variant>
      <vt:variant>
        <vt:lpwstr>_Toc238045753</vt:lpwstr>
      </vt:variant>
      <vt:variant>
        <vt:i4>1310777</vt:i4>
      </vt:variant>
      <vt:variant>
        <vt:i4>68</vt:i4>
      </vt:variant>
      <vt:variant>
        <vt:i4>0</vt:i4>
      </vt:variant>
      <vt:variant>
        <vt:i4>5</vt:i4>
      </vt:variant>
      <vt:variant>
        <vt:lpwstr/>
      </vt:variant>
      <vt:variant>
        <vt:lpwstr>_Toc238045752</vt:lpwstr>
      </vt:variant>
      <vt:variant>
        <vt:i4>1310777</vt:i4>
      </vt:variant>
      <vt:variant>
        <vt:i4>62</vt:i4>
      </vt:variant>
      <vt:variant>
        <vt:i4>0</vt:i4>
      </vt:variant>
      <vt:variant>
        <vt:i4>5</vt:i4>
      </vt:variant>
      <vt:variant>
        <vt:lpwstr/>
      </vt:variant>
      <vt:variant>
        <vt:lpwstr>_Toc238045751</vt:lpwstr>
      </vt:variant>
      <vt:variant>
        <vt:i4>1310777</vt:i4>
      </vt:variant>
      <vt:variant>
        <vt:i4>56</vt:i4>
      </vt:variant>
      <vt:variant>
        <vt:i4>0</vt:i4>
      </vt:variant>
      <vt:variant>
        <vt:i4>5</vt:i4>
      </vt:variant>
      <vt:variant>
        <vt:lpwstr/>
      </vt:variant>
      <vt:variant>
        <vt:lpwstr>_Toc238045750</vt:lpwstr>
      </vt:variant>
      <vt:variant>
        <vt:i4>1376313</vt:i4>
      </vt:variant>
      <vt:variant>
        <vt:i4>50</vt:i4>
      </vt:variant>
      <vt:variant>
        <vt:i4>0</vt:i4>
      </vt:variant>
      <vt:variant>
        <vt:i4>5</vt:i4>
      </vt:variant>
      <vt:variant>
        <vt:lpwstr/>
      </vt:variant>
      <vt:variant>
        <vt:lpwstr>_Toc238045749</vt:lpwstr>
      </vt:variant>
      <vt:variant>
        <vt:i4>1376313</vt:i4>
      </vt:variant>
      <vt:variant>
        <vt:i4>44</vt:i4>
      </vt:variant>
      <vt:variant>
        <vt:i4>0</vt:i4>
      </vt:variant>
      <vt:variant>
        <vt:i4>5</vt:i4>
      </vt:variant>
      <vt:variant>
        <vt:lpwstr/>
      </vt:variant>
      <vt:variant>
        <vt:lpwstr>_Toc238045748</vt:lpwstr>
      </vt:variant>
      <vt:variant>
        <vt:i4>1376313</vt:i4>
      </vt:variant>
      <vt:variant>
        <vt:i4>38</vt:i4>
      </vt:variant>
      <vt:variant>
        <vt:i4>0</vt:i4>
      </vt:variant>
      <vt:variant>
        <vt:i4>5</vt:i4>
      </vt:variant>
      <vt:variant>
        <vt:lpwstr/>
      </vt:variant>
      <vt:variant>
        <vt:lpwstr>_Toc238045747</vt:lpwstr>
      </vt:variant>
      <vt:variant>
        <vt:i4>1376313</vt:i4>
      </vt:variant>
      <vt:variant>
        <vt:i4>32</vt:i4>
      </vt:variant>
      <vt:variant>
        <vt:i4>0</vt:i4>
      </vt:variant>
      <vt:variant>
        <vt:i4>5</vt:i4>
      </vt:variant>
      <vt:variant>
        <vt:lpwstr/>
      </vt:variant>
      <vt:variant>
        <vt:lpwstr>_Toc238045746</vt:lpwstr>
      </vt:variant>
      <vt:variant>
        <vt:i4>1376313</vt:i4>
      </vt:variant>
      <vt:variant>
        <vt:i4>26</vt:i4>
      </vt:variant>
      <vt:variant>
        <vt:i4>0</vt:i4>
      </vt:variant>
      <vt:variant>
        <vt:i4>5</vt:i4>
      </vt:variant>
      <vt:variant>
        <vt:lpwstr/>
      </vt:variant>
      <vt:variant>
        <vt:lpwstr>_Toc238045745</vt:lpwstr>
      </vt:variant>
      <vt:variant>
        <vt:i4>1376313</vt:i4>
      </vt:variant>
      <vt:variant>
        <vt:i4>20</vt:i4>
      </vt:variant>
      <vt:variant>
        <vt:i4>0</vt:i4>
      </vt:variant>
      <vt:variant>
        <vt:i4>5</vt:i4>
      </vt:variant>
      <vt:variant>
        <vt:lpwstr/>
      </vt:variant>
      <vt:variant>
        <vt:lpwstr>_Toc238045744</vt:lpwstr>
      </vt:variant>
      <vt:variant>
        <vt:i4>1376313</vt:i4>
      </vt:variant>
      <vt:variant>
        <vt:i4>14</vt:i4>
      </vt:variant>
      <vt:variant>
        <vt:i4>0</vt:i4>
      </vt:variant>
      <vt:variant>
        <vt:i4>5</vt:i4>
      </vt:variant>
      <vt:variant>
        <vt:lpwstr/>
      </vt:variant>
      <vt:variant>
        <vt:lpwstr>_Toc238045743</vt:lpwstr>
      </vt:variant>
      <vt:variant>
        <vt:i4>1376313</vt:i4>
      </vt:variant>
      <vt:variant>
        <vt:i4>8</vt:i4>
      </vt:variant>
      <vt:variant>
        <vt:i4>0</vt:i4>
      </vt:variant>
      <vt:variant>
        <vt:i4>5</vt:i4>
      </vt:variant>
      <vt:variant>
        <vt:lpwstr/>
      </vt:variant>
      <vt:variant>
        <vt:lpwstr>_Toc238045742</vt:lpwstr>
      </vt:variant>
      <vt:variant>
        <vt:i4>1376313</vt:i4>
      </vt:variant>
      <vt:variant>
        <vt:i4>2</vt:i4>
      </vt:variant>
      <vt:variant>
        <vt:i4>0</vt:i4>
      </vt:variant>
      <vt:variant>
        <vt:i4>5</vt:i4>
      </vt:variant>
      <vt:variant>
        <vt:lpwstr/>
      </vt:variant>
      <vt:variant>
        <vt:lpwstr>_Toc238045741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Project</dc:title>
  <dc:subject>Version Number</dc:subject>
  <dc:creator>Amanda Pattenden</dc:creator>
  <cp:keywords/>
  <dc:description/>
  <cp:lastModifiedBy>Amanda Chenery (achenery)</cp:lastModifiedBy>
  <cp:revision>4</cp:revision>
  <dcterms:created xsi:type="dcterms:W3CDTF">2026-08-20T15:30:00Z</dcterms:created>
  <dcterms:modified xsi:type="dcterms:W3CDTF">2026-08-20T15:57:00Z</dcterms:modified>
  <cp:category>Digital Marketing Manager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