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8979" w14:textId="0C6427F6" w:rsidR="004E427B" w:rsidRDefault="00EE43B5" w:rsidP="00EE43B5">
      <w:pPr>
        <w:pStyle w:val="a3"/>
        <w:rPr>
          <w:rFonts w:ascii="黑体" w:eastAsia="黑体" w:hAnsi="黑体" w:hint="eastAsia"/>
        </w:rPr>
      </w:pPr>
      <w:r w:rsidRPr="00EE43B5">
        <w:rPr>
          <w:rFonts w:ascii="黑体" w:eastAsia="黑体" w:hAnsi="黑体" w:hint="eastAsia"/>
        </w:rPr>
        <w:t>六、描述性统计</w:t>
      </w:r>
      <w:r>
        <w:rPr>
          <w:rFonts w:ascii="黑体" w:eastAsia="黑体" w:hAnsi="黑体" w:hint="eastAsia"/>
        </w:rPr>
        <w:t>分析</w:t>
      </w:r>
    </w:p>
    <w:p w14:paraId="01E4D1E2" w14:textId="279E0E5E" w:rsidR="008735CF" w:rsidRPr="008735CF" w:rsidRDefault="008735CF" w:rsidP="00EE43B5">
      <w:pPr>
        <w:rPr>
          <w:rFonts w:ascii="黑体" w:eastAsia="黑体" w:hAnsi="黑体" w:hint="eastAsia"/>
          <w:b/>
          <w:bCs/>
          <w:sz w:val="24"/>
          <w:szCs w:val="28"/>
        </w:rPr>
      </w:pPr>
      <w:r w:rsidRPr="008735CF">
        <w:rPr>
          <w:rFonts w:ascii="黑体" w:eastAsia="黑体" w:hAnsi="黑体" w:hint="eastAsia"/>
          <w:b/>
          <w:bCs/>
          <w:sz w:val="24"/>
          <w:szCs w:val="28"/>
        </w:rPr>
        <w:t>6.1</w:t>
      </w:r>
      <w:r w:rsidR="00382A6D" w:rsidRPr="00382A6D">
        <w:rPr>
          <w:rFonts w:ascii="黑体" w:eastAsia="黑体" w:hAnsi="黑体" w:hint="eastAsia"/>
          <w:b/>
          <w:bCs/>
          <w:sz w:val="24"/>
          <w:szCs w:val="28"/>
        </w:rPr>
        <w:t>调查对象特征</w:t>
      </w:r>
      <w:r w:rsidR="00F3014D">
        <w:rPr>
          <w:rFonts w:ascii="黑体" w:eastAsia="黑体" w:hAnsi="黑体" w:hint="eastAsia"/>
          <w:b/>
          <w:bCs/>
          <w:sz w:val="24"/>
          <w:szCs w:val="28"/>
        </w:rPr>
        <w:t>分析</w:t>
      </w:r>
    </w:p>
    <w:p w14:paraId="0E2A1307" w14:textId="19073452" w:rsidR="008735CF" w:rsidRDefault="008735CF" w:rsidP="00EE43B5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（1）</w:t>
      </w:r>
      <w:r w:rsidRPr="008735CF">
        <w:rPr>
          <w:rFonts w:ascii="黑体" w:eastAsia="黑体" w:hAnsi="黑体" w:hint="eastAsia"/>
          <w:sz w:val="22"/>
          <w:szCs w:val="24"/>
        </w:rPr>
        <w:t>性别分布情况</w:t>
      </w:r>
    </w:p>
    <w:p w14:paraId="73115D92" w14:textId="77777777" w:rsidR="00917E72" w:rsidRPr="00382A6D" w:rsidRDefault="00917E72" w:rsidP="00917E72">
      <w:pPr>
        <w:ind w:firstLine="420"/>
        <w:rPr>
          <w:rFonts w:ascii="宋体" w:eastAsia="宋体" w:hAnsi="宋体" w:hint="eastAsia"/>
          <w:sz w:val="24"/>
          <w:szCs w:val="28"/>
        </w:rPr>
      </w:pPr>
      <w:r w:rsidRPr="00382A6D">
        <w:rPr>
          <w:rFonts w:ascii="宋体" w:eastAsia="宋体" w:hAnsi="宋体"/>
          <w:sz w:val="24"/>
          <w:szCs w:val="28"/>
        </w:rPr>
        <w:t>根据调查数据，</w:t>
      </w:r>
      <w:r w:rsidRPr="00382A6D">
        <w:rPr>
          <w:rFonts w:ascii="宋体" w:eastAsia="宋体" w:hAnsi="宋体" w:hint="eastAsia"/>
          <w:sz w:val="24"/>
          <w:szCs w:val="28"/>
        </w:rPr>
        <w:t>调查</w:t>
      </w:r>
      <w:r w:rsidRPr="00382A6D">
        <w:rPr>
          <w:rFonts w:ascii="宋体" w:eastAsia="宋体" w:hAnsi="宋体"/>
          <w:sz w:val="24"/>
          <w:szCs w:val="28"/>
        </w:rPr>
        <w:t>总人数为565人，其中男性214名，占比37.88%，女性351名，占比62.12%。虽然男性和女性的比例有所不同，但数据仍然提供了一定的参考价值，避免了因性别比例差异过大而引发的误差。</w:t>
      </w:r>
    </w:p>
    <w:p w14:paraId="691942AF" w14:textId="2BA84FFD" w:rsidR="00917E72" w:rsidRPr="00B82409" w:rsidRDefault="00917E72" w:rsidP="00917E72">
      <w:pPr>
        <w:rPr>
          <w:rFonts w:ascii="黑体" w:eastAsia="黑体" w:hAnsi="黑体" w:hint="eastAsia"/>
          <w:sz w:val="22"/>
          <w:szCs w:val="24"/>
        </w:rPr>
      </w:pPr>
      <w:r w:rsidRPr="00B82409">
        <w:rPr>
          <w:rFonts w:ascii="黑体" w:eastAsia="黑体" w:hAnsi="黑体" w:hint="eastAsia"/>
          <w:sz w:val="22"/>
          <w:szCs w:val="24"/>
        </w:rPr>
        <w:t>（</w:t>
      </w:r>
      <w:r w:rsidRPr="00B82409">
        <w:rPr>
          <w:rFonts w:ascii="黑体" w:eastAsia="黑体" w:hAnsi="黑体"/>
          <w:sz w:val="22"/>
          <w:szCs w:val="24"/>
        </w:rPr>
        <w:t>2</w:t>
      </w:r>
      <w:r w:rsidRPr="00B82409">
        <w:rPr>
          <w:rFonts w:ascii="黑体" w:eastAsia="黑体" w:hAnsi="黑体" w:hint="eastAsia"/>
          <w:sz w:val="22"/>
          <w:szCs w:val="24"/>
        </w:rPr>
        <w:t>）年龄分布情况</w:t>
      </w:r>
    </w:p>
    <w:p w14:paraId="2B67A752" w14:textId="77777777" w:rsidR="00917E72" w:rsidRPr="00917E72" w:rsidRDefault="00917E72" w:rsidP="00917E7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bCs/>
          <w:sz w:val="22"/>
          <w:szCs w:val="24"/>
        </w:rPr>
        <w:tab/>
      </w:r>
      <w:r w:rsidRPr="00917E72">
        <w:rPr>
          <w:rFonts w:ascii="宋体" w:eastAsia="宋体" w:hAnsi="宋体" w:hint="eastAsia"/>
          <w:sz w:val="24"/>
          <w:szCs w:val="24"/>
        </w:rPr>
        <w:t>我们通过在线上线下两种途径调查发放问卷并收集问卷信息，最终得到的年</w:t>
      </w:r>
    </w:p>
    <w:p w14:paraId="428ACD34" w14:textId="731B5DC3" w:rsidR="00917E72" w:rsidRPr="00917E72" w:rsidRDefault="00917E72" w:rsidP="00917E72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917E72">
        <w:rPr>
          <w:rFonts w:ascii="宋体" w:eastAsia="宋体" w:hAnsi="宋体" w:hint="eastAsia"/>
          <w:sz w:val="24"/>
          <w:szCs w:val="24"/>
        </w:rPr>
        <w:t>龄</w:t>
      </w:r>
      <w:proofErr w:type="gramEnd"/>
      <w:r w:rsidRPr="00917E72">
        <w:rPr>
          <w:rFonts w:ascii="宋体" w:eastAsia="宋体" w:hAnsi="宋体" w:hint="eastAsia"/>
          <w:sz w:val="24"/>
          <w:szCs w:val="24"/>
        </w:rPr>
        <w:t>分布情况结果如下图所示，18岁以下1人、占</w:t>
      </w:r>
      <w:r>
        <w:rPr>
          <w:rFonts w:ascii="宋体" w:eastAsia="宋体" w:hAnsi="宋体" w:hint="eastAsia"/>
          <w:sz w:val="24"/>
          <w:szCs w:val="24"/>
        </w:rPr>
        <w:t>0.18</w:t>
      </w:r>
      <w:r w:rsidRPr="00917E72"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17E72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8</w:t>
      </w:r>
      <w:r w:rsidRPr="00917E72">
        <w:rPr>
          <w:rFonts w:ascii="宋体" w:eastAsia="宋体" w:hAnsi="宋体" w:hint="eastAsia"/>
          <w:sz w:val="24"/>
          <w:szCs w:val="24"/>
        </w:rPr>
        <w:t>岁～</w:t>
      </w:r>
      <w:r>
        <w:rPr>
          <w:rFonts w:ascii="宋体" w:eastAsia="宋体" w:hAnsi="宋体" w:hint="eastAsia"/>
          <w:sz w:val="24"/>
          <w:szCs w:val="24"/>
        </w:rPr>
        <w:t>30</w:t>
      </w:r>
      <w:r w:rsidRPr="00917E72">
        <w:rPr>
          <w:rFonts w:ascii="宋体" w:eastAsia="宋体" w:hAnsi="宋体" w:hint="eastAsia"/>
          <w:sz w:val="24"/>
          <w:szCs w:val="24"/>
        </w:rPr>
        <w:t>岁</w:t>
      </w:r>
      <w:r>
        <w:rPr>
          <w:rFonts w:ascii="宋体" w:eastAsia="宋体" w:hAnsi="宋体" w:hint="eastAsia"/>
          <w:sz w:val="24"/>
          <w:szCs w:val="24"/>
        </w:rPr>
        <w:t>143</w:t>
      </w:r>
      <w:r w:rsidRPr="00917E72">
        <w:rPr>
          <w:rFonts w:ascii="宋体" w:eastAsia="宋体" w:hAnsi="宋体" w:hint="eastAsia"/>
          <w:sz w:val="24"/>
          <w:szCs w:val="24"/>
        </w:rPr>
        <w:t>人、</w:t>
      </w:r>
    </w:p>
    <w:p w14:paraId="300B8E83" w14:textId="5772ACC4" w:rsidR="00917E72" w:rsidRDefault="00917E72" w:rsidP="00917E72">
      <w:pPr>
        <w:rPr>
          <w:rFonts w:ascii="宋体" w:eastAsia="宋体" w:hAnsi="宋体" w:hint="eastAsia"/>
          <w:sz w:val="24"/>
          <w:szCs w:val="24"/>
        </w:rPr>
      </w:pPr>
      <w:r w:rsidRPr="00917E72">
        <w:rPr>
          <w:rFonts w:ascii="宋体" w:eastAsia="宋体" w:hAnsi="宋体" w:hint="eastAsia"/>
          <w:sz w:val="24"/>
          <w:szCs w:val="24"/>
        </w:rPr>
        <w:t>占</w:t>
      </w:r>
      <w:r>
        <w:rPr>
          <w:rFonts w:ascii="宋体" w:eastAsia="宋体" w:hAnsi="宋体" w:hint="eastAsia"/>
          <w:sz w:val="24"/>
          <w:szCs w:val="24"/>
        </w:rPr>
        <w:t>25.31</w:t>
      </w:r>
      <w:r w:rsidRPr="00917E72">
        <w:rPr>
          <w:rFonts w:ascii="宋体" w:eastAsia="宋体" w:hAnsi="宋体" w:hint="eastAsia"/>
          <w:sz w:val="24"/>
          <w:szCs w:val="24"/>
        </w:rPr>
        <w:t>%</w:t>
      </w:r>
      <w:r w:rsidR="005976D7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3</w:t>
      </w:r>
      <w:r w:rsidRPr="00917E72">
        <w:rPr>
          <w:rFonts w:ascii="宋体" w:eastAsia="宋体" w:hAnsi="宋体" w:hint="eastAsia"/>
          <w:sz w:val="24"/>
          <w:szCs w:val="24"/>
        </w:rPr>
        <w:t>1岁～</w:t>
      </w:r>
      <w:r>
        <w:rPr>
          <w:rFonts w:ascii="宋体" w:eastAsia="宋体" w:hAnsi="宋体" w:hint="eastAsia"/>
          <w:sz w:val="24"/>
          <w:szCs w:val="24"/>
        </w:rPr>
        <w:t>40</w:t>
      </w:r>
      <w:r w:rsidRPr="00917E72">
        <w:rPr>
          <w:rFonts w:ascii="宋体" w:eastAsia="宋体" w:hAnsi="宋体" w:hint="eastAsia"/>
          <w:sz w:val="24"/>
          <w:szCs w:val="24"/>
        </w:rPr>
        <w:t>岁</w:t>
      </w:r>
      <w:r w:rsidR="005976D7">
        <w:rPr>
          <w:rFonts w:ascii="宋体" w:eastAsia="宋体" w:hAnsi="宋体" w:hint="eastAsia"/>
          <w:sz w:val="24"/>
          <w:szCs w:val="24"/>
        </w:rPr>
        <w:t>205</w:t>
      </w:r>
      <w:r w:rsidRPr="00917E72">
        <w:rPr>
          <w:rFonts w:ascii="宋体" w:eastAsia="宋体" w:hAnsi="宋体" w:hint="eastAsia"/>
          <w:sz w:val="24"/>
          <w:szCs w:val="24"/>
        </w:rPr>
        <w:t>人、占</w:t>
      </w:r>
      <w:r w:rsidR="005976D7">
        <w:rPr>
          <w:rFonts w:ascii="宋体" w:eastAsia="宋体" w:hAnsi="宋体" w:hint="eastAsia"/>
          <w:sz w:val="24"/>
          <w:szCs w:val="24"/>
        </w:rPr>
        <w:t>36.28</w:t>
      </w:r>
      <w:r w:rsidRPr="00917E72">
        <w:rPr>
          <w:rFonts w:ascii="宋体" w:eastAsia="宋体" w:hAnsi="宋体" w:hint="eastAsia"/>
          <w:sz w:val="24"/>
          <w:szCs w:val="24"/>
        </w:rPr>
        <w:t>%</w:t>
      </w:r>
      <w:r w:rsidR="005976D7">
        <w:rPr>
          <w:rFonts w:ascii="宋体" w:eastAsia="宋体" w:hAnsi="宋体" w:hint="eastAsia"/>
          <w:sz w:val="24"/>
          <w:szCs w:val="24"/>
        </w:rPr>
        <w:t>；4</w:t>
      </w:r>
      <w:r w:rsidR="005976D7" w:rsidRPr="00917E72">
        <w:rPr>
          <w:rFonts w:ascii="宋体" w:eastAsia="宋体" w:hAnsi="宋体" w:hint="eastAsia"/>
          <w:sz w:val="24"/>
          <w:szCs w:val="24"/>
        </w:rPr>
        <w:t>1岁～</w:t>
      </w:r>
      <w:r w:rsidR="005976D7">
        <w:rPr>
          <w:rFonts w:ascii="宋体" w:eastAsia="宋体" w:hAnsi="宋体" w:hint="eastAsia"/>
          <w:sz w:val="24"/>
          <w:szCs w:val="24"/>
        </w:rPr>
        <w:t>50</w:t>
      </w:r>
      <w:r w:rsidR="005976D7" w:rsidRPr="00917E72">
        <w:rPr>
          <w:rFonts w:ascii="宋体" w:eastAsia="宋体" w:hAnsi="宋体" w:hint="eastAsia"/>
          <w:sz w:val="24"/>
          <w:szCs w:val="24"/>
        </w:rPr>
        <w:t>岁</w:t>
      </w:r>
      <w:r w:rsidR="005976D7">
        <w:rPr>
          <w:rFonts w:ascii="宋体" w:eastAsia="宋体" w:hAnsi="宋体" w:hint="eastAsia"/>
          <w:sz w:val="24"/>
          <w:szCs w:val="24"/>
        </w:rPr>
        <w:t>129</w:t>
      </w:r>
      <w:r w:rsidR="005976D7" w:rsidRPr="00917E72">
        <w:rPr>
          <w:rFonts w:ascii="宋体" w:eastAsia="宋体" w:hAnsi="宋体" w:hint="eastAsia"/>
          <w:sz w:val="24"/>
          <w:szCs w:val="24"/>
        </w:rPr>
        <w:t>人、占</w:t>
      </w:r>
      <w:r w:rsidR="005976D7">
        <w:rPr>
          <w:rFonts w:ascii="宋体" w:eastAsia="宋体" w:hAnsi="宋体" w:hint="eastAsia"/>
          <w:sz w:val="24"/>
          <w:szCs w:val="24"/>
        </w:rPr>
        <w:t>22.83</w:t>
      </w:r>
      <w:r w:rsidR="005976D7" w:rsidRPr="00917E72">
        <w:rPr>
          <w:rFonts w:ascii="宋体" w:eastAsia="宋体" w:hAnsi="宋体" w:hint="eastAsia"/>
          <w:sz w:val="24"/>
          <w:szCs w:val="24"/>
        </w:rPr>
        <w:t>%</w:t>
      </w:r>
      <w:r w:rsidR="005976D7">
        <w:rPr>
          <w:rFonts w:ascii="宋体" w:eastAsia="宋体" w:hAnsi="宋体" w:hint="eastAsia"/>
          <w:sz w:val="24"/>
          <w:szCs w:val="24"/>
        </w:rPr>
        <w:t>；</w:t>
      </w:r>
      <w:r w:rsidR="005976D7" w:rsidRPr="005976D7">
        <w:rPr>
          <w:rFonts w:ascii="宋体" w:eastAsia="宋体" w:hAnsi="宋体" w:hint="eastAsia"/>
          <w:sz w:val="24"/>
          <w:szCs w:val="24"/>
        </w:rPr>
        <w:t>60以上30</w:t>
      </w:r>
      <w:r w:rsidR="005976D7">
        <w:rPr>
          <w:rFonts w:ascii="宋体" w:eastAsia="宋体" w:hAnsi="宋体" w:hint="eastAsia"/>
          <w:sz w:val="24"/>
          <w:szCs w:val="24"/>
        </w:rPr>
        <w:t>人，占</w:t>
      </w:r>
      <w:r w:rsidR="005976D7" w:rsidRPr="005976D7">
        <w:rPr>
          <w:rFonts w:ascii="宋体" w:eastAsia="宋体" w:hAnsi="宋体" w:hint="eastAsia"/>
          <w:sz w:val="24"/>
          <w:szCs w:val="24"/>
        </w:rPr>
        <w:t>5.31%</w:t>
      </w:r>
      <w:r w:rsidR="005976D7">
        <w:rPr>
          <w:rFonts w:ascii="宋体" w:eastAsia="宋体" w:hAnsi="宋体" w:hint="eastAsia"/>
          <w:sz w:val="24"/>
          <w:szCs w:val="24"/>
        </w:rPr>
        <w:t>。</w:t>
      </w:r>
    </w:p>
    <w:p w14:paraId="2189DF76" w14:textId="6D764177" w:rsidR="00B82409" w:rsidRDefault="00F032F1" w:rsidP="00B8240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198ED4" wp14:editId="4671AD55">
            <wp:extent cx="5274310" cy="1924685"/>
            <wp:effectExtent l="0" t="0" r="2540" b="18415"/>
            <wp:docPr id="46103827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1275F25-D3C7-E23A-5E82-979C4C4FE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6F5AA4" w14:textId="4223ED23" w:rsidR="00B82409" w:rsidRDefault="00B82409" w:rsidP="00B82409">
      <w:pPr>
        <w:rPr>
          <w:rFonts w:ascii="黑体" w:eastAsia="黑体" w:hAnsi="黑体" w:hint="eastAsia"/>
          <w:sz w:val="22"/>
          <w:szCs w:val="24"/>
        </w:rPr>
      </w:pPr>
      <w:r w:rsidRPr="00B82409">
        <w:rPr>
          <w:rFonts w:ascii="黑体" w:eastAsia="黑体" w:hAnsi="黑体" w:hint="eastAsia"/>
          <w:sz w:val="22"/>
          <w:szCs w:val="24"/>
        </w:rPr>
        <w:t>（3）月收入分布情况</w:t>
      </w:r>
    </w:p>
    <w:p w14:paraId="34E261E9" w14:textId="011B169D" w:rsidR="003176A5" w:rsidRPr="003176A5" w:rsidRDefault="003176A5" w:rsidP="003176A5">
      <w:pPr>
        <w:ind w:firstLine="420"/>
        <w:rPr>
          <w:rFonts w:ascii="宋体" w:eastAsia="宋体" w:hAnsi="宋体" w:hint="eastAsia"/>
          <w:sz w:val="24"/>
          <w:szCs w:val="24"/>
        </w:rPr>
      </w:pPr>
      <w:r w:rsidRPr="003176A5">
        <w:rPr>
          <w:rFonts w:ascii="宋体" w:eastAsia="宋体" w:hAnsi="宋体"/>
          <w:sz w:val="24"/>
          <w:szCs w:val="24"/>
        </w:rPr>
        <w:t>大多数受访者的</w:t>
      </w:r>
      <w:r>
        <w:rPr>
          <w:rFonts w:ascii="宋体" w:eastAsia="宋体" w:hAnsi="宋体" w:hint="eastAsia"/>
          <w:sz w:val="24"/>
          <w:szCs w:val="24"/>
        </w:rPr>
        <w:t>月</w:t>
      </w:r>
      <w:r w:rsidRPr="003176A5">
        <w:rPr>
          <w:rFonts w:ascii="宋体" w:eastAsia="宋体" w:hAnsi="宋体"/>
          <w:sz w:val="24"/>
          <w:szCs w:val="24"/>
        </w:rPr>
        <w:t>收入集中在2000至5000元区间，占比超过半数（54.16%），表明这是一个普遍的收入范围。较高收入群体（超过5000元）占比接近四成（39.12%），而中等收入（1000至2000元）和低收入（低于1000元）的受访者分别仅占4.60%和2.12%，</w:t>
      </w:r>
      <w:r>
        <w:rPr>
          <w:rFonts w:ascii="宋体" w:eastAsia="宋体" w:hAnsi="宋体" w:hint="eastAsia"/>
          <w:sz w:val="24"/>
          <w:szCs w:val="24"/>
        </w:rPr>
        <w:t>说明问卷覆盖范围较广，月收入分布如下图所示：</w:t>
      </w:r>
    </w:p>
    <w:p w14:paraId="2FC51984" w14:textId="7E78D227" w:rsidR="00382A6D" w:rsidRDefault="00C01AA7" w:rsidP="00F3014D">
      <w:pPr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2312EF" wp14:editId="57D85056">
            <wp:simplePos x="0" y="0"/>
            <wp:positionH relativeFrom="margin">
              <wp:posOffset>497850</wp:posOffset>
            </wp:positionH>
            <wp:positionV relativeFrom="paragraph">
              <wp:posOffset>14605</wp:posOffset>
            </wp:positionV>
            <wp:extent cx="4572000" cy="2743200"/>
            <wp:effectExtent l="0" t="0" r="0" b="0"/>
            <wp:wrapSquare wrapText="bothSides"/>
            <wp:docPr id="185309469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485766B-11B4-5E3F-0818-5D9F6BB0AB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6D8D0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6212BFDF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34B1E6A2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475056F8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609B9CC7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73ACB165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7F675093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29CD3332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51B2B8A6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73EEA02F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7B804B81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62DFEC07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07DC69D1" w14:textId="77777777" w:rsidR="00C01AA7" w:rsidRDefault="00C01AA7" w:rsidP="00F3014D">
      <w:pPr>
        <w:rPr>
          <w:rFonts w:ascii="黑体" w:eastAsia="黑体" w:hAnsi="黑体"/>
          <w:b/>
          <w:bCs/>
          <w:sz w:val="24"/>
          <w:szCs w:val="28"/>
        </w:rPr>
      </w:pPr>
    </w:p>
    <w:p w14:paraId="2B007F3E" w14:textId="436EAC7F" w:rsidR="00F3014D" w:rsidRDefault="00F3014D" w:rsidP="00F3014D">
      <w:pPr>
        <w:rPr>
          <w:rFonts w:ascii="黑体" w:eastAsia="黑体" w:hAnsi="黑体" w:hint="eastAsia"/>
          <w:b/>
          <w:bCs/>
          <w:sz w:val="24"/>
          <w:szCs w:val="28"/>
        </w:rPr>
      </w:pPr>
      <w:r w:rsidRPr="008735CF">
        <w:rPr>
          <w:rFonts w:ascii="黑体" w:eastAsia="黑体" w:hAnsi="黑体" w:hint="eastAsia"/>
          <w:b/>
          <w:bCs/>
          <w:sz w:val="24"/>
          <w:szCs w:val="28"/>
        </w:rPr>
        <w:t>6.</w:t>
      </w:r>
      <w:r>
        <w:rPr>
          <w:rFonts w:ascii="黑体" w:eastAsia="黑体" w:hAnsi="黑体" w:hint="eastAsia"/>
          <w:b/>
          <w:bCs/>
          <w:sz w:val="24"/>
          <w:szCs w:val="28"/>
        </w:rPr>
        <w:t>2</w:t>
      </w:r>
      <w:r w:rsidRPr="00F3014D">
        <w:rPr>
          <w:rFonts w:ascii="黑体" w:eastAsia="黑体" w:hAnsi="黑体" w:hint="eastAsia"/>
          <w:b/>
          <w:bCs/>
          <w:sz w:val="24"/>
          <w:szCs w:val="28"/>
        </w:rPr>
        <w:t>发展现状分析</w:t>
      </w:r>
    </w:p>
    <w:p w14:paraId="67510970" w14:textId="355EF2FC" w:rsidR="00382A6D" w:rsidRPr="00382A6D" w:rsidRDefault="00382A6D" w:rsidP="00F3014D">
      <w:pPr>
        <w:rPr>
          <w:rFonts w:ascii="黑体" w:eastAsia="黑体" w:hAnsi="黑体" w:hint="eastAsia"/>
          <w:sz w:val="22"/>
          <w:szCs w:val="24"/>
        </w:rPr>
      </w:pPr>
      <w:r w:rsidRPr="00382A6D">
        <w:rPr>
          <w:rFonts w:ascii="黑体" w:eastAsia="黑体" w:hAnsi="黑体" w:hint="eastAsia"/>
          <w:sz w:val="22"/>
          <w:szCs w:val="24"/>
        </w:rPr>
        <w:t>（</w:t>
      </w:r>
      <w:r w:rsidRPr="00382A6D">
        <w:rPr>
          <w:rFonts w:ascii="黑体" w:eastAsia="黑体" w:hAnsi="黑体"/>
          <w:sz w:val="22"/>
          <w:szCs w:val="24"/>
        </w:rPr>
        <w:t>1</w:t>
      </w:r>
      <w:r w:rsidRPr="00382A6D">
        <w:rPr>
          <w:rFonts w:ascii="黑体" w:eastAsia="黑体" w:hAnsi="黑体" w:hint="eastAsia"/>
          <w:sz w:val="22"/>
          <w:szCs w:val="24"/>
        </w:rPr>
        <w:t>）了解情况分析</w:t>
      </w:r>
    </w:p>
    <w:p w14:paraId="55163762" w14:textId="3C2D545E" w:rsidR="003176A5" w:rsidRDefault="00382A6D" w:rsidP="00382A6D">
      <w:pPr>
        <w:ind w:firstLine="420"/>
        <w:rPr>
          <w:rFonts w:ascii="宋体" w:eastAsia="宋体" w:hAnsi="宋体" w:hint="eastAsia"/>
          <w:sz w:val="24"/>
          <w:szCs w:val="24"/>
        </w:rPr>
      </w:pPr>
      <w:r w:rsidRPr="00382A6D">
        <w:rPr>
          <w:rFonts w:ascii="宋体" w:eastAsia="宋体" w:hAnsi="宋体"/>
          <w:sz w:val="24"/>
          <w:szCs w:val="24"/>
        </w:rPr>
        <w:lastRenderedPageBreak/>
        <w:t>根据问卷调查结果显示，</w:t>
      </w:r>
      <w:r w:rsidRPr="00382A6D">
        <w:rPr>
          <w:rFonts w:ascii="宋体" w:eastAsia="宋体" w:hAnsi="宋体" w:hint="eastAsia"/>
          <w:sz w:val="24"/>
          <w:szCs w:val="24"/>
        </w:rPr>
        <w:t>565</w:t>
      </w:r>
      <w:r w:rsidRPr="00382A6D">
        <w:rPr>
          <w:rFonts w:ascii="宋体" w:eastAsia="宋体" w:hAnsi="宋体"/>
          <w:sz w:val="24"/>
          <w:szCs w:val="24"/>
        </w:rPr>
        <w:t>份有效样本中，</w:t>
      </w:r>
      <w:r>
        <w:rPr>
          <w:rFonts w:ascii="宋体" w:eastAsia="宋体" w:hAnsi="宋体" w:hint="eastAsia"/>
          <w:sz w:val="24"/>
          <w:szCs w:val="24"/>
        </w:rPr>
        <w:t>公众对</w:t>
      </w:r>
      <w:r w:rsidRPr="00382A6D">
        <w:rPr>
          <w:rFonts w:ascii="宋体" w:eastAsia="宋体" w:hAnsi="宋体" w:hint="eastAsia"/>
          <w:sz w:val="24"/>
          <w:szCs w:val="24"/>
        </w:rPr>
        <w:t>本地基础设施建设的完善程度</w:t>
      </w:r>
      <w:r>
        <w:rPr>
          <w:rFonts w:ascii="宋体" w:eastAsia="宋体" w:hAnsi="宋体" w:hint="eastAsia"/>
          <w:sz w:val="24"/>
          <w:szCs w:val="24"/>
        </w:rPr>
        <w:t>较高。</w:t>
      </w:r>
      <w:r w:rsidRPr="00382A6D">
        <w:rPr>
          <w:rFonts w:ascii="宋体" w:eastAsia="宋体" w:hAnsi="宋体" w:hint="eastAsia"/>
          <w:sz w:val="24"/>
          <w:szCs w:val="24"/>
        </w:rPr>
        <w:t>了解</w:t>
      </w:r>
      <w:r>
        <w:rPr>
          <w:rFonts w:ascii="宋体" w:eastAsia="宋体" w:hAnsi="宋体" w:hint="eastAsia"/>
          <w:sz w:val="24"/>
          <w:szCs w:val="24"/>
        </w:rPr>
        <w:t>有</w:t>
      </w:r>
      <w:r w:rsidRPr="00382A6D">
        <w:rPr>
          <w:rFonts w:ascii="宋体" w:eastAsia="宋体" w:hAnsi="宋体" w:hint="eastAsia"/>
          <w:sz w:val="24"/>
          <w:szCs w:val="24"/>
        </w:rPr>
        <w:t>415 人，占比 73.45%</w:t>
      </w:r>
      <w:r>
        <w:rPr>
          <w:rFonts w:ascii="宋体" w:eastAsia="宋体" w:hAnsi="宋体" w:hint="eastAsia"/>
          <w:sz w:val="24"/>
          <w:szCs w:val="24"/>
        </w:rPr>
        <w:t>；</w:t>
      </w:r>
      <w:r w:rsidRPr="00382A6D">
        <w:rPr>
          <w:rFonts w:ascii="宋体" w:eastAsia="宋体" w:hAnsi="宋体" w:hint="eastAsia"/>
          <w:sz w:val="24"/>
          <w:szCs w:val="24"/>
        </w:rPr>
        <w:t>不太清</w:t>
      </w:r>
      <w:r>
        <w:rPr>
          <w:rFonts w:ascii="宋体" w:eastAsia="宋体" w:hAnsi="宋体" w:hint="eastAsia"/>
          <w:sz w:val="24"/>
          <w:szCs w:val="24"/>
        </w:rPr>
        <w:t>楚有</w:t>
      </w:r>
      <w:r w:rsidRPr="00382A6D">
        <w:rPr>
          <w:rFonts w:ascii="宋体" w:eastAsia="宋体" w:hAnsi="宋体" w:hint="eastAsia"/>
          <w:sz w:val="24"/>
          <w:szCs w:val="24"/>
        </w:rPr>
        <w:t>84</w:t>
      </w:r>
      <w:r>
        <w:rPr>
          <w:rFonts w:ascii="宋体" w:eastAsia="宋体" w:hAnsi="宋体" w:hint="eastAsia"/>
          <w:sz w:val="24"/>
          <w:szCs w:val="24"/>
        </w:rPr>
        <w:t>人，占比</w:t>
      </w:r>
      <w:r w:rsidRPr="00382A6D">
        <w:rPr>
          <w:rFonts w:ascii="宋体" w:eastAsia="宋体" w:hAnsi="宋体" w:hint="eastAsia"/>
          <w:sz w:val="24"/>
          <w:szCs w:val="24"/>
        </w:rPr>
        <w:t>14.86%</w:t>
      </w:r>
      <w:r>
        <w:rPr>
          <w:rFonts w:ascii="宋体" w:eastAsia="宋体" w:hAnsi="宋体" w:hint="eastAsia"/>
          <w:sz w:val="24"/>
          <w:szCs w:val="24"/>
        </w:rPr>
        <w:t>；不了解有</w:t>
      </w:r>
      <w:r w:rsidRPr="00382A6D">
        <w:rPr>
          <w:rFonts w:ascii="宋体" w:eastAsia="宋体" w:hAnsi="宋体" w:hint="eastAsia"/>
          <w:sz w:val="24"/>
          <w:szCs w:val="24"/>
        </w:rPr>
        <w:t>66</w:t>
      </w:r>
      <w:r>
        <w:rPr>
          <w:rFonts w:ascii="宋体" w:eastAsia="宋体" w:hAnsi="宋体" w:hint="eastAsia"/>
          <w:sz w:val="24"/>
          <w:szCs w:val="24"/>
        </w:rPr>
        <w:t>人，占比</w:t>
      </w:r>
      <w:r w:rsidRPr="00382A6D">
        <w:rPr>
          <w:rFonts w:ascii="宋体" w:eastAsia="宋体" w:hAnsi="宋体" w:hint="eastAsia"/>
          <w:sz w:val="24"/>
          <w:szCs w:val="24"/>
        </w:rPr>
        <w:t>11.68%</w:t>
      </w:r>
      <w:r>
        <w:rPr>
          <w:rFonts w:ascii="宋体" w:eastAsia="宋体" w:hAnsi="宋体" w:hint="eastAsia"/>
          <w:sz w:val="24"/>
          <w:szCs w:val="24"/>
        </w:rPr>
        <w:t>。基于数据可以认为，大部分群众对</w:t>
      </w:r>
      <w:r w:rsidRPr="00382A6D">
        <w:rPr>
          <w:rFonts w:ascii="宋体" w:eastAsia="宋体" w:hAnsi="宋体" w:hint="eastAsia"/>
          <w:sz w:val="24"/>
          <w:szCs w:val="24"/>
        </w:rPr>
        <w:t>本地基础设施建设的完善</w:t>
      </w:r>
      <w:proofErr w:type="gramStart"/>
      <w:r w:rsidRPr="00382A6D">
        <w:rPr>
          <w:rFonts w:ascii="宋体" w:eastAsia="宋体" w:hAnsi="宋体" w:hint="eastAsia"/>
          <w:sz w:val="24"/>
          <w:szCs w:val="24"/>
        </w:rPr>
        <w:t>程度</w:t>
      </w:r>
      <w:r>
        <w:rPr>
          <w:rFonts w:ascii="宋体" w:eastAsia="宋体" w:hAnsi="宋体" w:hint="eastAsia"/>
          <w:sz w:val="24"/>
          <w:szCs w:val="24"/>
        </w:rPr>
        <w:t>程度</w:t>
      </w:r>
      <w:proofErr w:type="gramEnd"/>
      <w:r>
        <w:rPr>
          <w:rFonts w:ascii="宋体" w:eastAsia="宋体" w:hAnsi="宋体" w:hint="eastAsia"/>
          <w:sz w:val="24"/>
          <w:szCs w:val="24"/>
        </w:rPr>
        <w:t>较高，但仍有25%以上的群众对</w:t>
      </w:r>
      <w:r w:rsidRPr="00382A6D">
        <w:rPr>
          <w:rFonts w:ascii="宋体" w:eastAsia="宋体" w:hAnsi="宋体" w:hint="eastAsia"/>
          <w:sz w:val="24"/>
          <w:szCs w:val="24"/>
        </w:rPr>
        <w:t>本地基础设施建设的完善程度</w:t>
      </w:r>
      <w:r>
        <w:rPr>
          <w:rFonts w:ascii="宋体" w:eastAsia="宋体" w:hAnsi="宋体" w:hint="eastAsia"/>
          <w:sz w:val="24"/>
          <w:szCs w:val="24"/>
        </w:rPr>
        <w:t>不了解或不清楚。</w:t>
      </w:r>
    </w:p>
    <w:p w14:paraId="7DBB5E34" w14:textId="25702EF6" w:rsidR="00382A6D" w:rsidRDefault="00382A6D" w:rsidP="00382A6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C64E8F" wp14:editId="78BD54A3">
            <wp:extent cx="5190409" cy="2716772"/>
            <wp:effectExtent l="0" t="0" r="10795" b="7620"/>
            <wp:docPr id="15539674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2603C03-F546-E2C1-E01D-70BEBA4F1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E7A4C8" w14:textId="41DB47A3" w:rsidR="00D04C83" w:rsidRDefault="00D04C83" w:rsidP="00D04C83">
      <w:pPr>
        <w:rPr>
          <w:rFonts w:ascii="黑体" w:eastAsia="黑体" w:hAnsi="黑体" w:hint="eastAsia"/>
          <w:sz w:val="22"/>
          <w:szCs w:val="24"/>
        </w:rPr>
      </w:pPr>
      <w:r w:rsidRPr="00D04C83">
        <w:rPr>
          <w:rFonts w:ascii="黑体" w:eastAsia="黑体" w:hAnsi="黑体" w:hint="eastAsia"/>
          <w:sz w:val="22"/>
          <w:szCs w:val="24"/>
        </w:rPr>
        <w:t>（</w:t>
      </w:r>
      <w:r w:rsidRPr="00D04C83">
        <w:rPr>
          <w:rFonts w:ascii="黑体" w:eastAsia="黑体" w:hAnsi="黑体"/>
          <w:sz w:val="22"/>
          <w:szCs w:val="24"/>
        </w:rPr>
        <w:t>2</w:t>
      </w:r>
      <w:r w:rsidRPr="00D04C83">
        <w:rPr>
          <w:rFonts w:ascii="黑体" w:eastAsia="黑体" w:hAnsi="黑体" w:hint="eastAsia"/>
          <w:sz w:val="22"/>
          <w:szCs w:val="24"/>
        </w:rPr>
        <w:t>）</w:t>
      </w:r>
      <w:r>
        <w:rPr>
          <w:rFonts w:ascii="黑体" w:eastAsia="黑体" w:hAnsi="黑体" w:hint="eastAsia"/>
          <w:sz w:val="22"/>
          <w:szCs w:val="24"/>
        </w:rPr>
        <w:t>基础设施认同</w:t>
      </w:r>
      <w:r w:rsidRPr="00D04C83">
        <w:rPr>
          <w:rFonts w:ascii="黑体" w:eastAsia="黑体" w:hAnsi="黑体" w:hint="eastAsia"/>
          <w:sz w:val="22"/>
          <w:szCs w:val="24"/>
        </w:rPr>
        <w:t>情况分析</w:t>
      </w:r>
    </w:p>
    <w:p w14:paraId="139C5F09" w14:textId="4DF7C5BA" w:rsidR="00D04C83" w:rsidRDefault="004E3C17" w:rsidP="00D04C83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586F78" wp14:editId="208EC883">
            <wp:simplePos x="0" y="0"/>
            <wp:positionH relativeFrom="margin">
              <wp:posOffset>-138485</wp:posOffset>
            </wp:positionH>
            <wp:positionV relativeFrom="paragraph">
              <wp:posOffset>1920890</wp:posOffset>
            </wp:positionV>
            <wp:extent cx="5707380" cy="2776220"/>
            <wp:effectExtent l="0" t="0" r="7620" b="5080"/>
            <wp:wrapSquare wrapText="bothSides"/>
            <wp:docPr id="200758454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681B684-77C1-BB41-7330-48774B6F6F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C83">
        <w:rPr>
          <w:rFonts w:ascii="宋体" w:eastAsia="宋体" w:hAnsi="宋体" w:hint="eastAsia"/>
          <w:sz w:val="24"/>
          <w:szCs w:val="28"/>
        </w:rPr>
        <w:t>为便于数据可视化，</w:t>
      </w:r>
      <w:r w:rsidR="00D04C83" w:rsidRPr="00D04C83">
        <w:rPr>
          <w:rFonts w:ascii="宋体" w:eastAsia="宋体" w:hAnsi="宋体" w:hint="eastAsia"/>
          <w:sz w:val="24"/>
          <w:szCs w:val="28"/>
        </w:rPr>
        <w:t>将量表选项转换为得分</w:t>
      </w:r>
      <w:r w:rsidR="00D04C83">
        <w:rPr>
          <w:rFonts w:ascii="宋体" w:eastAsia="宋体" w:hAnsi="宋体" w:hint="eastAsia"/>
          <w:sz w:val="24"/>
          <w:szCs w:val="28"/>
        </w:rPr>
        <w:t>，</w:t>
      </w:r>
      <w:r w:rsidR="001B7636">
        <w:rPr>
          <w:rFonts w:ascii="宋体" w:eastAsia="宋体" w:hAnsi="宋体" w:hint="eastAsia"/>
          <w:sz w:val="24"/>
          <w:szCs w:val="28"/>
        </w:rPr>
        <w:t>得分越高说明基础设施</w:t>
      </w:r>
      <w:r w:rsidR="00D04C83">
        <w:rPr>
          <w:rFonts w:ascii="宋体" w:eastAsia="宋体" w:hAnsi="宋体" w:hint="eastAsia"/>
          <w:sz w:val="24"/>
          <w:szCs w:val="28"/>
        </w:rPr>
        <w:t>转换规则如下表所示：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04C83" w14:paraId="637D0851" w14:textId="77777777" w:rsidTr="00D04C83"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11593CD6" w14:textId="0758CA25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D04C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选项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277F8E26" w14:textId="26B3EACC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D04C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得分</w:t>
            </w:r>
          </w:p>
        </w:tc>
      </w:tr>
      <w:tr w:rsidR="00D04C83" w14:paraId="2624E74A" w14:textId="77777777" w:rsidTr="00D04C83">
        <w:tc>
          <w:tcPr>
            <w:tcW w:w="4148" w:type="dxa"/>
            <w:tcBorders>
              <w:top w:val="single" w:sz="8" w:space="0" w:color="auto"/>
            </w:tcBorders>
          </w:tcPr>
          <w:p w14:paraId="4EB4F453" w14:textId="44EB3B7E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D04C83">
              <w:rPr>
                <w:rFonts w:ascii="宋体" w:eastAsia="宋体" w:hAnsi="宋体"/>
                <w:sz w:val="24"/>
                <w:szCs w:val="24"/>
              </w:rPr>
              <w:t>很符合</w:t>
            </w:r>
          </w:p>
        </w:tc>
        <w:tc>
          <w:tcPr>
            <w:tcW w:w="4148" w:type="dxa"/>
            <w:tcBorders>
              <w:top w:val="single" w:sz="8" w:space="0" w:color="auto"/>
            </w:tcBorders>
          </w:tcPr>
          <w:p w14:paraId="0F0DF962" w14:textId="102BFA03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D04C83" w14:paraId="03B4AD28" w14:textId="77777777" w:rsidTr="00D04C83">
        <w:tc>
          <w:tcPr>
            <w:tcW w:w="4148" w:type="dxa"/>
          </w:tcPr>
          <w:p w14:paraId="70C9CEAF" w14:textId="0F561EB4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</w:t>
            </w:r>
          </w:p>
        </w:tc>
        <w:tc>
          <w:tcPr>
            <w:tcW w:w="4148" w:type="dxa"/>
          </w:tcPr>
          <w:p w14:paraId="090AF063" w14:textId="0223096E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D04C83" w14:paraId="20D4C18E" w14:textId="77777777" w:rsidTr="00D04C83">
        <w:tc>
          <w:tcPr>
            <w:tcW w:w="4148" w:type="dxa"/>
          </w:tcPr>
          <w:p w14:paraId="45638AEF" w14:textId="75E48F44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4148" w:type="dxa"/>
          </w:tcPr>
          <w:p w14:paraId="16D5BD88" w14:textId="152D6741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D04C83" w14:paraId="698EDAF3" w14:textId="77777777" w:rsidTr="00D04C83">
        <w:tc>
          <w:tcPr>
            <w:tcW w:w="4148" w:type="dxa"/>
          </w:tcPr>
          <w:p w14:paraId="1D123270" w14:textId="5C592687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不符合</w:t>
            </w:r>
          </w:p>
        </w:tc>
        <w:tc>
          <w:tcPr>
            <w:tcW w:w="4148" w:type="dxa"/>
          </w:tcPr>
          <w:p w14:paraId="5E25C1F6" w14:textId="09DED520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D04C83" w14:paraId="7A63B182" w14:textId="77777777" w:rsidTr="00D04C83">
        <w:trPr>
          <w:trHeight w:val="53"/>
        </w:trPr>
        <w:tc>
          <w:tcPr>
            <w:tcW w:w="4148" w:type="dxa"/>
            <w:tcBorders>
              <w:bottom w:val="single" w:sz="12" w:space="0" w:color="auto"/>
            </w:tcBorders>
          </w:tcPr>
          <w:p w14:paraId="61D1ECA8" w14:textId="0D123FF3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很不符合</w:t>
            </w:r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14:paraId="4D70C5DE" w14:textId="44A2F30F" w:rsidR="00D04C83" w:rsidRPr="00D04C83" w:rsidRDefault="00D04C83" w:rsidP="00D04C8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14:paraId="35C086C2" w14:textId="57F7FB28" w:rsidR="00BD7ED9" w:rsidRDefault="0000310D" w:rsidP="004E3C17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由图可知，基础设施各量化问题得分总数大致相同，接近满分2825分，故认</w:t>
      </w:r>
      <w:r>
        <w:rPr>
          <w:rFonts w:ascii="宋体" w:eastAsia="宋体" w:hAnsi="宋体" w:hint="eastAsia"/>
          <w:sz w:val="24"/>
          <w:szCs w:val="24"/>
        </w:rPr>
        <w:lastRenderedPageBreak/>
        <w:t>为公众对基础设施满意度高，基础设施建设情况较好。</w:t>
      </w:r>
    </w:p>
    <w:p w14:paraId="39265278" w14:textId="17846833" w:rsidR="00BD7ED9" w:rsidRPr="004E3C17" w:rsidRDefault="0000310D" w:rsidP="00BD7ED9">
      <w:pPr>
        <w:rPr>
          <w:rFonts w:ascii="黑体" w:eastAsia="黑体" w:hAnsi="黑体" w:hint="eastAsia"/>
          <w:sz w:val="22"/>
          <w:szCs w:val="24"/>
        </w:rPr>
      </w:pPr>
      <w:r w:rsidRPr="00D04C83">
        <w:rPr>
          <w:rFonts w:ascii="黑体" w:eastAsia="黑体" w:hAnsi="黑体" w:hint="eastAsia"/>
          <w:sz w:val="22"/>
          <w:szCs w:val="24"/>
        </w:rPr>
        <w:t>（</w:t>
      </w:r>
      <w:r>
        <w:rPr>
          <w:rFonts w:ascii="黑体" w:eastAsia="黑体" w:hAnsi="黑体" w:hint="eastAsia"/>
          <w:sz w:val="22"/>
          <w:szCs w:val="24"/>
        </w:rPr>
        <w:t>3</w:t>
      </w:r>
      <w:r w:rsidRPr="00D04C83">
        <w:rPr>
          <w:rFonts w:ascii="黑体" w:eastAsia="黑体" w:hAnsi="黑体" w:hint="eastAsia"/>
          <w:sz w:val="22"/>
          <w:szCs w:val="24"/>
        </w:rPr>
        <w:t>）</w:t>
      </w:r>
      <w:r w:rsidR="00BD7ED9">
        <w:rPr>
          <w:rFonts w:ascii="黑体" w:eastAsia="黑体" w:hAnsi="黑体" w:hint="eastAsia"/>
          <w:sz w:val="22"/>
          <w:szCs w:val="24"/>
        </w:rPr>
        <w:t>公共服务</w:t>
      </w:r>
      <w:r>
        <w:rPr>
          <w:rFonts w:ascii="黑体" w:eastAsia="黑体" w:hAnsi="黑体" w:hint="eastAsia"/>
          <w:sz w:val="22"/>
          <w:szCs w:val="24"/>
        </w:rPr>
        <w:t>认同</w:t>
      </w:r>
      <w:r w:rsidRPr="00D04C83">
        <w:rPr>
          <w:rFonts w:ascii="黑体" w:eastAsia="黑体" w:hAnsi="黑体" w:hint="eastAsia"/>
          <w:sz w:val="22"/>
          <w:szCs w:val="24"/>
        </w:rPr>
        <w:t>情况分析</w:t>
      </w:r>
    </w:p>
    <w:p w14:paraId="53A182A7" w14:textId="48566A05" w:rsidR="00BD7ED9" w:rsidRPr="00BD7ED9" w:rsidRDefault="00276FBA" w:rsidP="00BD7ED9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2E209A" wp14:editId="69F6B736">
            <wp:extent cx="5422265" cy="3334385"/>
            <wp:effectExtent l="0" t="0" r="6985" b="18415"/>
            <wp:docPr id="201893460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97D2967-A18E-E928-D40D-1C449EB48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D7ED9">
        <w:rPr>
          <w:rFonts w:ascii="宋体" w:eastAsia="宋体" w:hAnsi="宋体" w:hint="eastAsia"/>
          <w:sz w:val="24"/>
          <w:szCs w:val="24"/>
        </w:rPr>
        <w:t>由图可知，公共服务各量化问题得分总数大致相同，接近满分2825分，故认为公众对公共服务满意度高，公共服务实施情况较好。</w:t>
      </w:r>
    </w:p>
    <w:p w14:paraId="409A51FE" w14:textId="78C46A51" w:rsidR="00BD7ED9" w:rsidRDefault="00BD7ED9" w:rsidP="00BD7ED9">
      <w:pPr>
        <w:rPr>
          <w:rFonts w:ascii="黑体" w:eastAsia="黑体" w:hAnsi="黑体"/>
          <w:sz w:val="22"/>
          <w:szCs w:val="24"/>
        </w:rPr>
      </w:pPr>
      <w:r w:rsidRPr="00D04C83">
        <w:rPr>
          <w:rFonts w:ascii="黑体" w:eastAsia="黑体" w:hAnsi="黑体" w:hint="eastAsia"/>
          <w:sz w:val="22"/>
          <w:szCs w:val="24"/>
        </w:rPr>
        <w:t>（</w:t>
      </w:r>
      <w:r>
        <w:rPr>
          <w:rFonts w:ascii="黑体" w:eastAsia="黑体" w:hAnsi="黑体" w:hint="eastAsia"/>
          <w:sz w:val="22"/>
          <w:szCs w:val="24"/>
        </w:rPr>
        <w:t>4</w:t>
      </w:r>
      <w:r w:rsidRPr="00D04C83">
        <w:rPr>
          <w:rFonts w:ascii="黑体" w:eastAsia="黑体" w:hAnsi="黑体" w:hint="eastAsia"/>
          <w:sz w:val="22"/>
          <w:szCs w:val="24"/>
        </w:rPr>
        <w:t>）</w:t>
      </w:r>
      <w:r>
        <w:rPr>
          <w:rFonts w:ascii="黑体" w:eastAsia="黑体" w:hAnsi="黑体" w:hint="eastAsia"/>
          <w:sz w:val="22"/>
          <w:szCs w:val="24"/>
        </w:rPr>
        <w:t>经济认同</w:t>
      </w:r>
      <w:r w:rsidRPr="00D04C83">
        <w:rPr>
          <w:rFonts w:ascii="黑体" w:eastAsia="黑体" w:hAnsi="黑体" w:hint="eastAsia"/>
          <w:sz w:val="22"/>
          <w:szCs w:val="24"/>
        </w:rPr>
        <w:t>情况分析</w:t>
      </w:r>
    </w:p>
    <w:p w14:paraId="3E8C65CD" w14:textId="369B67B0" w:rsidR="00276FBA" w:rsidRPr="00BD7ED9" w:rsidRDefault="00276FBA" w:rsidP="00BD7E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3EEBC89" wp14:editId="2C2E13DA">
            <wp:extent cx="5767057" cy="3913890"/>
            <wp:effectExtent l="0" t="0" r="5715" b="0"/>
            <wp:docPr id="364147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030" cy="3916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787CD" w14:textId="000EA902" w:rsidR="00BD7ED9" w:rsidRDefault="00BD7ED9" w:rsidP="00BD7ED9">
      <w:pPr>
        <w:rPr>
          <w:rFonts w:ascii="宋体" w:eastAsia="宋体" w:hAnsi="宋体" w:hint="eastAsia"/>
          <w:noProof/>
          <w:sz w:val="28"/>
          <w:szCs w:val="28"/>
        </w:rPr>
      </w:pPr>
    </w:p>
    <w:p w14:paraId="562D177A" w14:textId="1BC74A86" w:rsidR="00065C06" w:rsidRPr="00BD7ED9" w:rsidRDefault="00065C06" w:rsidP="00065C06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由图可知，经济就业各量化问题得分总数大致相同，接近满分2825分，故认为公众对经济就业满意度高，经济就业发展形势好。</w:t>
      </w:r>
    </w:p>
    <w:p w14:paraId="7A9B8B25" w14:textId="555A1815" w:rsidR="00065C06" w:rsidRDefault="00065C06" w:rsidP="00065C06">
      <w:pPr>
        <w:rPr>
          <w:rFonts w:ascii="黑体" w:eastAsia="黑体" w:hAnsi="黑体" w:hint="eastAsia"/>
          <w:b/>
          <w:bCs/>
          <w:sz w:val="24"/>
          <w:szCs w:val="28"/>
        </w:rPr>
      </w:pPr>
      <w:r w:rsidRPr="008735CF">
        <w:rPr>
          <w:rFonts w:ascii="黑体" w:eastAsia="黑体" w:hAnsi="黑体" w:hint="eastAsia"/>
          <w:b/>
          <w:bCs/>
          <w:sz w:val="24"/>
          <w:szCs w:val="28"/>
        </w:rPr>
        <w:t>6.</w:t>
      </w:r>
      <w:r>
        <w:rPr>
          <w:rFonts w:ascii="黑体" w:eastAsia="黑体" w:hAnsi="黑体" w:hint="eastAsia"/>
          <w:b/>
          <w:bCs/>
          <w:sz w:val="24"/>
          <w:szCs w:val="28"/>
        </w:rPr>
        <w:t>3</w:t>
      </w:r>
      <w:r w:rsidR="00D25EBA">
        <w:rPr>
          <w:rFonts w:ascii="黑体" w:eastAsia="黑体" w:hAnsi="黑体" w:hint="eastAsia"/>
          <w:b/>
          <w:bCs/>
          <w:sz w:val="24"/>
          <w:szCs w:val="28"/>
        </w:rPr>
        <w:t>公众需求</w:t>
      </w:r>
      <w:r w:rsidRPr="00F3014D">
        <w:rPr>
          <w:rFonts w:ascii="黑体" w:eastAsia="黑体" w:hAnsi="黑体" w:hint="eastAsia"/>
          <w:b/>
          <w:bCs/>
          <w:sz w:val="24"/>
          <w:szCs w:val="28"/>
        </w:rPr>
        <w:t>分析</w:t>
      </w:r>
    </w:p>
    <w:p w14:paraId="41FD8895" w14:textId="1E660352" w:rsidR="00D25EBA" w:rsidRPr="00382A6D" w:rsidRDefault="00D25EBA" w:rsidP="00D25EBA">
      <w:pPr>
        <w:rPr>
          <w:rFonts w:ascii="黑体" w:eastAsia="黑体" w:hAnsi="黑体" w:hint="eastAsia"/>
          <w:sz w:val="22"/>
          <w:szCs w:val="24"/>
        </w:rPr>
      </w:pPr>
      <w:r w:rsidRPr="00382A6D">
        <w:rPr>
          <w:rFonts w:ascii="黑体" w:eastAsia="黑体" w:hAnsi="黑体" w:hint="eastAsia"/>
          <w:sz w:val="22"/>
          <w:szCs w:val="24"/>
        </w:rPr>
        <w:t>（</w:t>
      </w:r>
      <w:r w:rsidRPr="00382A6D">
        <w:rPr>
          <w:rFonts w:ascii="黑体" w:eastAsia="黑体" w:hAnsi="黑体"/>
          <w:sz w:val="22"/>
          <w:szCs w:val="24"/>
        </w:rPr>
        <w:t>1</w:t>
      </w:r>
      <w:r w:rsidRPr="00382A6D">
        <w:rPr>
          <w:rFonts w:ascii="黑体" w:eastAsia="黑体" w:hAnsi="黑体" w:hint="eastAsia"/>
          <w:sz w:val="22"/>
          <w:szCs w:val="24"/>
        </w:rPr>
        <w:t>）</w:t>
      </w:r>
      <w:r>
        <w:rPr>
          <w:rFonts w:ascii="黑体" w:eastAsia="黑体" w:hAnsi="黑体" w:hint="eastAsia"/>
          <w:sz w:val="22"/>
          <w:szCs w:val="24"/>
        </w:rPr>
        <w:t>公共服务便携度较差</w:t>
      </w:r>
      <w:r w:rsidRPr="00382A6D">
        <w:rPr>
          <w:rFonts w:ascii="黑体" w:eastAsia="黑体" w:hAnsi="黑体" w:hint="eastAsia"/>
          <w:sz w:val="22"/>
          <w:szCs w:val="24"/>
        </w:rPr>
        <w:t>分析</w:t>
      </w:r>
    </w:p>
    <w:p w14:paraId="71C394D8" w14:textId="5D6B739C" w:rsidR="00065C06" w:rsidRDefault="00D25EBA" w:rsidP="00D25EBA">
      <w:pPr>
        <w:tabs>
          <w:tab w:val="left" w:pos="44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D25EBA">
        <w:rPr>
          <w:rFonts w:ascii="宋体" w:eastAsia="宋体" w:hAnsi="宋体" w:hint="eastAsia"/>
          <w:sz w:val="24"/>
          <w:szCs w:val="24"/>
        </w:rPr>
        <w:t>通过问卷统计了</w:t>
      </w:r>
      <w:r>
        <w:rPr>
          <w:rFonts w:ascii="宋体" w:eastAsia="宋体" w:hAnsi="宋体" w:hint="eastAsia"/>
          <w:sz w:val="24"/>
          <w:szCs w:val="24"/>
        </w:rPr>
        <w:t>公众认为公共服务中便携度较差的部分，</w:t>
      </w:r>
      <w:r w:rsidR="00CB650A">
        <w:rPr>
          <w:rFonts w:ascii="宋体" w:eastAsia="宋体" w:hAnsi="宋体" w:hint="eastAsia"/>
          <w:sz w:val="24"/>
          <w:szCs w:val="24"/>
        </w:rPr>
        <w:t>考虑到样本数量较多为565份，故对30人以上认为该部分便携度较差做统计，结果</w:t>
      </w:r>
      <w:r>
        <w:rPr>
          <w:rFonts w:ascii="宋体" w:eastAsia="宋体" w:hAnsi="宋体" w:hint="eastAsia"/>
          <w:sz w:val="24"/>
          <w:szCs w:val="24"/>
        </w:rPr>
        <w:t>如图所示：</w:t>
      </w:r>
    </w:p>
    <w:p w14:paraId="65534D8E" w14:textId="7E3FAF70" w:rsidR="00276FBA" w:rsidRDefault="00276FBA" w:rsidP="00D25EBA">
      <w:pPr>
        <w:tabs>
          <w:tab w:val="left" w:pos="440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38FDC75" wp14:editId="3DED6912">
            <wp:simplePos x="0" y="0"/>
            <wp:positionH relativeFrom="margin">
              <wp:align>center</wp:align>
            </wp:positionH>
            <wp:positionV relativeFrom="paragraph">
              <wp:posOffset>7034</wp:posOffset>
            </wp:positionV>
            <wp:extent cx="4584700" cy="2755900"/>
            <wp:effectExtent l="0" t="0" r="6350" b="635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1362603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C3E28" w14:textId="77777777" w:rsidR="00CB650A" w:rsidRDefault="00CB650A" w:rsidP="00D25EBA">
      <w:pPr>
        <w:tabs>
          <w:tab w:val="left" w:pos="440"/>
        </w:tabs>
        <w:rPr>
          <w:rFonts w:ascii="宋体" w:eastAsia="宋体" w:hAnsi="宋体" w:hint="eastAsia"/>
          <w:sz w:val="24"/>
          <w:szCs w:val="24"/>
        </w:rPr>
      </w:pPr>
    </w:p>
    <w:p w14:paraId="3751374A" w14:textId="5E740453" w:rsidR="00CB650A" w:rsidRDefault="00CB650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0085A7FA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7135B7EE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46E7F8A5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7FEB9FB3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64CCA36D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22A8A659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682B211D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40D1C716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134DCB5F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02CFEA66" w14:textId="77777777" w:rsidR="00276FBA" w:rsidRDefault="00276FBA" w:rsidP="00D25EBA">
      <w:pPr>
        <w:tabs>
          <w:tab w:val="left" w:pos="440"/>
        </w:tabs>
        <w:rPr>
          <w:rFonts w:ascii="宋体" w:eastAsia="宋体" w:hAnsi="宋体"/>
          <w:noProof/>
          <w:sz w:val="24"/>
          <w:szCs w:val="24"/>
        </w:rPr>
      </w:pPr>
    </w:p>
    <w:p w14:paraId="5B846A2D" w14:textId="77777777" w:rsidR="00276FBA" w:rsidRDefault="00276FBA" w:rsidP="00D25EBA">
      <w:pPr>
        <w:tabs>
          <w:tab w:val="left" w:pos="440"/>
        </w:tabs>
        <w:rPr>
          <w:rFonts w:ascii="宋体" w:eastAsia="宋体" w:hAnsi="宋体" w:hint="eastAsia"/>
          <w:sz w:val="24"/>
          <w:szCs w:val="24"/>
        </w:rPr>
      </w:pPr>
    </w:p>
    <w:p w14:paraId="0651739B" w14:textId="329EE3EF" w:rsidR="00CB650A" w:rsidRDefault="00CB650A" w:rsidP="00D25EBA">
      <w:pPr>
        <w:tabs>
          <w:tab w:val="left" w:pos="440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由图可知，有30人及以上认为在垃圾处理设施、公共交通、医疗服务、养老服务等方面便携度较差，说明上述方面需要整改调整。</w:t>
      </w:r>
    </w:p>
    <w:p w14:paraId="3FB04681" w14:textId="1ABB5104" w:rsidR="00FD589C" w:rsidRPr="00276FBA" w:rsidRDefault="00276FBA" w:rsidP="00D25EBA">
      <w:pPr>
        <w:tabs>
          <w:tab w:val="left" w:pos="440"/>
        </w:tabs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noProof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735248DC" wp14:editId="7D4AE773">
            <wp:simplePos x="0" y="0"/>
            <wp:positionH relativeFrom="margin">
              <wp:posOffset>343633</wp:posOffset>
            </wp:positionH>
            <wp:positionV relativeFrom="paragraph">
              <wp:posOffset>233094</wp:posOffset>
            </wp:positionV>
            <wp:extent cx="4980940" cy="3279775"/>
            <wp:effectExtent l="0" t="0" r="0" b="0"/>
            <wp:wrapSquare wrapText="bothSides"/>
            <wp:docPr id="13679400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50A" w:rsidRPr="00382A6D">
        <w:rPr>
          <w:rFonts w:ascii="黑体" w:eastAsia="黑体" w:hAnsi="黑体" w:hint="eastAsia"/>
          <w:sz w:val="22"/>
          <w:szCs w:val="24"/>
        </w:rPr>
        <w:t>（</w:t>
      </w:r>
      <w:r w:rsidR="00CB650A">
        <w:rPr>
          <w:rFonts w:ascii="黑体" w:eastAsia="黑体" w:hAnsi="黑体" w:hint="eastAsia"/>
          <w:sz w:val="22"/>
          <w:szCs w:val="24"/>
        </w:rPr>
        <w:t>2</w:t>
      </w:r>
      <w:r w:rsidR="00CB650A" w:rsidRPr="00382A6D">
        <w:rPr>
          <w:rFonts w:ascii="黑体" w:eastAsia="黑体" w:hAnsi="黑体" w:hint="eastAsia"/>
          <w:sz w:val="22"/>
          <w:szCs w:val="24"/>
        </w:rPr>
        <w:t>）</w:t>
      </w:r>
      <w:r w:rsidR="00FD589C">
        <w:rPr>
          <w:rFonts w:ascii="黑体" w:eastAsia="黑体" w:hAnsi="黑体" w:hint="eastAsia"/>
          <w:sz w:val="22"/>
          <w:szCs w:val="24"/>
        </w:rPr>
        <w:t>对公共服务的需求</w:t>
      </w:r>
      <w:r w:rsidR="00CB650A" w:rsidRPr="00382A6D">
        <w:rPr>
          <w:rFonts w:ascii="黑体" w:eastAsia="黑体" w:hAnsi="黑体" w:hint="eastAsia"/>
          <w:sz w:val="22"/>
          <w:szCs w:val="24"/>
        </w:rPr>
        <w:t>分析</w:t>
      </w:r>
    </w:p>
    <w:p w14:paraId="01DA3DA2" w14:textId="39A02606" w:rsidR="000F2F01" w:rsidRPr="00FD589C" w:rsidRDefault="000F2F01" w:rsidP="00D25EBA">
      <w:pPr>
        <w:tabs>
          <w:tab w:val="left" w:pos="440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由图可知医疗服务需求408人，占总人数的72.21%；教育服务需求330人，占总人数的58.40%；养老服务需求309人，占总人数的54.69%；公共交通需求228人，占总人数的</w:t>
      </w:r>
      <w:r w:rsidR="00902E5E">
        <w:rPr>
          <w:rFonts w:ascii="宋体" w:eastAsia="宋体" w:hAnsi="宋体" w:hint="eastAsia"/>
          <w:sz w:val="24"/>
          <w:szCs w:val="24"/>
        </w:rPr>
        <w:t>40.35</w:t>
      </w:r>
      <w:r>
        <w:rPr>
          <w:rFonts w:ascii="宋体" w:eastAsia="宋体" w:hAnsi="宋体" w:hint="eastAsia"/>
          <w:sz w:val="24"/>
          <w:szCs w:val="24"/>
        </w:rPr>
        <w:t>%</w:t>
      </w:r>
      <w:r w:rsidR="00902E5E">
        <w:rPr>
          <w:rFonts w:ascii="宋体" w:eastAsia="宋体" w:hAnsi="宋体" w:hint="eastAsia"/>
          <w:sz w:val="24"/>
          <w:szCs w:val="24"/>
        </w:rPr>
        <w:t>；社区安全设施需求185人，占总人数的32.74%；垃圾处理设施需求176人，占总人数的31.15%。综上所述，公众对以上六个方面需求量较大。</w:t>
      </w:r>
    </w:p>
    <w:sectPr w:rsidR="000F2F01" w:rsidRPr="00FD5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169DD"/>
    <w:multiLevelType w:val="multilevel"/>
    <w:tmpl w:val="3BA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67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7B"/>
    <w:rsid w:val="0000310D"/>
    <w:rsid w:val="000056AF"/>
    <w:rsid w:val="0003381A"/>
    <w:rsid w:val="00065C06"/>
    <w:rsid w:val="000813EF"/>
    <w:rsid w:val="000843F3"/>
    <w:rsid w:val="000F2F01"/>
    <w:rsid w:val="0018659C"/>
    <w:rsid w:val="001B7636"/>
    <w:rsid w:val="00276FBA"/>
    <w:rsid w:val="002A3F63"/>
    <w:rsid w:val="002B4A87"/>
    <w:rsid w:val="003176A5"/>
    <w:rsid w:val="00382A6D"/>
    <w:rsid w:val="003E444F"/>
    <w:rsid w:val="004E3C17"/>
    <w:rsid w:val="004E427B"/>
    <w:rsid w:val="005976D7"/>
    <w:rsid w:val="005A06EB"/>
    <w:rsid w:val="005B13B4"/>
    <w:rsid w:val="008470E9"/>
    <w:rsid w:val="008735CF"/>
    <w:rsid w:val="00902E5E"/>
    <w:rsid w:val="00917E72"/>
    <w:rsid w:val="00993662"/>
    <w:rsid w:val="00A33B1D"/>
    <w:rsid w:val="00B82409"/>
    <w:rsid w:val="00BD007B"/>
    <w:rsid w:val="00BD7ED9"/>
    <w:rsid w:val="00C01AA7"/>
    <w:rsid w:val="00CB650A"/>
    <w:rsid w:val="00D04C83"/>
    <w:rsid w:val="00D25EBA"/>
    <w:rsid w:val="00DC42FF"/>
    <w:rsid w:val="00E04599"/>
    <w:rsid w:val="00EE43B5"/>
    <w:rsid w:val="00F032F1"/>
    <w:rsid w:val="00F3014D"/>
    <w:rsid w:val="00F53756"/>
    <w:rsid w:val="00FB1371"/>
    <w:rsid w:val="00FD589C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BBEF"/>
  <w15:chartTrackingRefBased/>
  <w15:docId w15:val="{F59F9634-6B34-434A-AB69-AED82A9D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43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43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0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2479;&#35745;&#35843;&#26597;\&#24180;&#40836;&#39292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&#32479;&#35745;&#35843;&#26597;\&#24180;&#40836;&#39292;&#2227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2479;&#35745;&#35843;&#26597;\&#32479;&#35843;\output_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&#32479;&#35745;&#35843;&#26597;\&#24180;&#40836;&#39292;&#22270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年龄分布饼图</a:t>
            </a:r>
            <a:endParaRPr lang="zh-CN"/>
          </a:p>
        </c:rich>
      </c:tx>
      <c:layout>
        <c:manualLayout>
          <c:xMode val="edge"/>
          <c:yMode val="edge"/>
          <c:x val="0.74967054160459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71CF-4BA8-9484-143127E7AF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71CF-4BA8-9484-143127E7AF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71CF-4BA8-9484-143127E7AF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71CF-4BA8-9484-143127E7AF0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71CF-4BA8-9484-143127E7AF0C}"/>
              </c:ext>
            </c:extLst>
          </c:dPt>
          <c:dLbls>
            <c:dLbl>
              <c:idx val="0"/>
              <c:layout>
                <c:manualLayout>
                  <c:x val="4.8986486486486423E-2"/>
                  <c:y val="-5.555555555555555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1CF-4BA8-9484-143127E7AF0C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71CF-4BA8-9484-143127E7AF0C}"/>
                </c:ext>
              </c:extLst>
            </c:dLbl>
            <c:dLbl>
              <c:idx val="2"/>
              <c:layout>
                <c:manualLayout>
                  <c:x val="0.19263192720943575"/>
                  <c:y val="-1.97954470471791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574765229954249"/>
                      <c:h val="0.288023754536456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71CF-4BA8-9484-143127E7AF0C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297134601492893"/>
                      <c:h val="0.288023754536456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71CF-4BA8-9484-143127E7AF0C}"/>
                </c:ext>
              </c:extLst>
            </c:dLbl>
            <c:dLbl>
              <c:idx val="4"/>
              <c:layout>
                <c:manualLayout>
                  <c:x val="-1.6891891891892511E-3"/>
                  <c:y val="-2.314814814814814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1CF-4BA8-9484-143127E7AF0C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Sheet1!$A$1:$B$5</c:f>
              <c:multiLvlStrCache>
                <c:ptCount val="5"/>
                <c:lvl>
                  <c:pt idx="0">
                    <c:v>1人</c:v>
                  </c:pt>
                  <c:pt idx="1">
                    <c:v>143人</c:v>
                  </c:pt>
                  <c:pt idx="2">
                    <c:v>205人</c:v>
                  </c:pt>
                  <c:pt idx="3">
                    <c:v>129人</c:v>
                  </c:pt>
                  <c:pt idx="4">
                    <c:v>30人</c:v>
                  </c:pt>
                </c:lvl>
                <c:lvl>
                  <c:pt idx="0">
                    <c:v>18岁以下</c:v>
                  </c:pt>
                  <c:pt idx="1">
                    <c:v>18岁～30岁</c:v>
                  </c:pt>
                  <c:pt idx="2">
                    <c:v>31岁～40岁</c:v>
                  </c:pt>
                  <c:pt idx="3">
                    <c:v>41岁～50岁</c:v>
                  </c:pt>
                  <c:pt idx="4">
                    <c:v>60以上</c:v>
                  </c:pt>
                </c:lvl>
              </c:multiLvlStrCache>
            </c:multiLvlStrRef>
          </c:cat>
          <c:val>
            <c:numRef>
              <c:f>Sheet1!$C$1:$C$5</c:f>
              <c:numCache>
                <c:formatCode>0.00%</c:formatCode>
                <c:ptCount val="5"/>
                <c:pt idx="0">
                  <c:v>1.8E-3</c:v>
                </c:pt>
                <c:pt idx="1">
                  <c:v>0.25309999999999999</c:v>
                </c:pt>
                <c:pt idx="2">
                  <c:v>0.36280000000000001</c:v>
                </c:pt>
                <c:pt idx="3">
                  <c:v>0.2283</c:v>
                </c:pt>
                <c:pt idx="4">
                  <c:v>5.3100000000000001E-2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1CF-4BA8-9484-143127E7AF0C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收入分布柱状图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Sheet1!$A$8:$A$11</c:f>
              <c:strCache>
                <c:ptCount val="4"/>
                <c:pt idx="0">
                  <c:v>1000元以下</c:v>
                </c:pt>
                <c:pt idx="1">
                  <c:v>1000-2000元</c:v>
                </c:pt>
                <c:pt idx="2">
                  <c:v>2000-5000元</c:v>
                </c:pt>
                <c:pt idx="3">
                  <c:v>大于5000元</c:v>
                </c:pt>
              </c:strCache>
            </c:strRef>
          </c:cat>
          <c:val>
            <c:numRef>
              <c:f>Sheet1!$B$8:$B$11</c:f>
              <c:numCache>
                <c:formatCode>0.00%</c:formatCode>
                <c:ptCount val="4"/>
                <c:pt idx="0">
                  <c:v>2.12E-2</c:v>
                </c:pt>
                <c:pt idx="1">
                  <c:v>4.5999999999999999E-2</c:v>
                </c:pt>
                <c:pt idx="2">
                  <c:v>0.54159999999999997</c:v>
                </c:pt>
                <c:pt idx="3">
                  <c:v>0.39119999999999999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B3-4785-9B6E-28ED991B4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5016448"/>
        <c:axId val="875016928"/>
      </c:barChart>
      <c:catAx>
        <c:axId val="87501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016928"/>
        <c:crosses val="autoZero"/>
        <c:auto val="1"/>
        <c:lblAlgn val="ctr"/>
        <c:lblOffset val="100"/>
        <c:noMultiLvlLbl val="0"/>
      </c:catAx>
      <c:valAx>
        <c:axId val="87501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01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了解情况分析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人数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C33-4141-B35F-1B46401BEE27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C33-4141-B35F-1B46401BEE27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C33-4141-B35F-1B46401BEE27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3C33-4141-B35F-1B46401BEE27}"/>
                </c:ext>
              </c:extLst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3C33-4141-B35F-1B46401BEE27}"/>
                </c:ext>
              </c:extLst>
            </c:dLbl>
            <c:dLbl>
              <c:idx val="2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/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3C33-4141-B35F-1B46401BEE27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F81BD"/>
                </a:solidFill>
                <a:round/>
              </a:ln>
              <a:effectLst>
                <a:outerShdw blurRad="50800" dist="38100" dir="2700000" algn="tl" rotWithShape="0">
                  <a:srgbClr val="4F81BD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了解</c:v>
                </c:pt>
                <c:pt idx="1">
                  <c:v>不太清楚</c:v>
                </c:pt>
                <c:pt idx="2">
                  <c:v>不了解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415</c:v>
                </c:pt>
                <c:pt idx="1">
                  <c:v>84</c:v>
                </c:pt>
                <c:pt idx="2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C33-4141-B35F-1B46401BEE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占比 (%)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8-3C33-4141-B35F-1B46401BEE27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A-3C33-4141-B35F-1B46401BEE27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3C33-4141-B35F-1B46401BEE27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3C33-4141-B35F-1B46401BEE27}"/>
                </c:ext>
              </c:extLst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A-3C33-4141-B35F-1B46401BEE27}"/>
                </c:ext>
              </c:extLst>
            </c:dLbl>
            <c:dLbl>
              <c:idx val="2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/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C-3C33-4141-B35F-1B46401BEE27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C0504D"/>
                </a:solidFill>
                <a:round/>
              </a:ln>
              <a:effectLst>
                <a:outerShdw blurRad="50800" dist="38100" dir="2700000" algn="tl" rotWithShape="0">
                  <a:srgbClr val="C0504D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了解</c:v>
                </c:pt>
                <c:pt idx="1">
                  <c:v>不太清楚</c:v>
                </c:pt>
                <c:pt idx="2">
                  <c:v>不了解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73.451327433628322</c:v>
                </c:pt>
                <c:pt idx="1">
                  <c:v>14.86725663716814</c:v>
                </c:pt>
                <c:pt idx="2">
                  <c:v>11.68141592920354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3C33-4141-B35F-1B46401BEE2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基础设施认同情况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Sheet1!$A$13:$A$16</c:f>
              <c:strCache>
                <c:ptCount val="4"/>
                <c:pt idx="0">
                  <c:v>对全域公共服务一体化
建设的满意度</c:v>
                </c:pt>
                <c:pt idx="1">
                  <c:v>本地政府对基础设施
建设重视程度</c:v>
                </c:pt>
                <c:pt idx="2">
                  <c:v>过去一年本地
基础设施改善程度</c:v>
                </c:pt>
                <c:pt idx="3">
                  <c:v>对本地区基础设施
建设满意程度</c:v>
                </c:pt>
              </c:strCache>
            </c:strRef>
          </c:cat>
          <c:val>
            <c:numRef>
              <c:f>Sheet1!$B$13:$B$16</c:f>
              <c:numCache>
                <c:formatCode>0.00_);[Red]\(0.00\)</c:formatCode>
                <c:ptCount val="4"/>
                <c:pt idx="0">
                  <c:v>2422</c:v>
                </c:pt>
                <c:pt idx="1">
                  <c:v>2247</c:v>
                </c:pt>
                <c:pt idx="2">
                  <c:v>2207</c:v>
                </c:pt>
                <c:pt idx="3">
                  <c:v>2207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D5-4988-BCB3-3DC99E6CC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3359408"/>
        <c:axId val="1663368048"/>
      </c:barChart>
      <c:catAx>
        <c:axId val="166335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3368048"/>
        <c:crosses val="autoZero"/>
        <c:auto val="1"/>
        <c:lblAlgn val="ctr"/>
        <c:lblOffset val="100"/>
        <c:noMultiLvlLbl val="0"/>
      </c:catAx>
      <c:valAx>
        <c:axId val="166336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335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公共服务认同情况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Sheet1!$A$18:$A$19</c:f>
              <c:strCache>
                <c:ptCount val="2"/>
                <c:pt idx="0">
                  <c:v>对本地区公共服务
普及性满意程度</c:v>
                </c:pt>
                <c:pt idx="1">
                  <c:v>对当前公共服务
（教育、医疗、社会保障）的便捷性满意程度</c:v>
                </c:pt>
              </c:strCache>
            </c:strRef>
          </c:cat>
          <c:val>
            <c:numRef>
              <c:f>Sheet1!$B$18:$B$19</c:f>
              <c:numCache>
                <c:formatCode>0.00_);[Red]\(0.00\)</c:formatCode>
                <c:ptCount val="2"/>
                <c:pt idx="0">
                  <c:v>2421</c:v>
                </c:pt>
                <c:pt idx="1">
                  <c:v>2399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6F-4EDF-BC53-FCA911B92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3367568"/>
        <c:axId val="1663363728"/>
      </c:barChart>
      <c:catAx>
        <c:axId val="1663367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3363728"/>
        <c:crosses val="autoZero"/>
        <c:auto val="1"/>
        <c:lblAlgn val="ctr"/>
        <c:lblOffset val="100"/>
        <c:noMultiLvlLbl val="0"/>
      </c:catAx>
      <c:valAx>
        <c:axId val="166336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3367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俊壕 林</dc:creator>
  <cp:keywords/>
  <dc:description/>
  <cp:lastModifiedBy>俊壕 林</cp:lastModifiedBy>
  <cp:revision>9</cp:revision>
  <dcterms:created xsi:type="dcterms:W3CDTF">2024-08-14T02:17:00Z</dcterms:created>
  <dcterms:modified xsi:type="dcterms:W3CDTF">2024-08-18T09:23:00Z</dcterms:modified>
</cp:coreProperties>
</file>