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CORNELL NOTE TAKING GRID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Use this template below to take notes during the TED talk. Alternatively, copy out this template into an A4-sized notebook and make hand-written notes in it as you watch and listen.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tbl>
      <w:tblPr>
        <w:tblStyle w:val="TableGrid"/>
        <w:tblW w:w="1049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7512"/>
      </w:tblGrid>
      <w:tr>
        <w:trPr/>
        <w:tc>
          <w:tcPr>
            <w:tcW w:w="1048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TALK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TITLE:</w:t>
            </w:r>
          </w:p>
          <w:p>
            <w:pPr>
              <w:pStyle w:val="Heading1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Top hacker shows us how it's done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 OF SPEAKER: Pablos Holman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DATE: 30’t August 2012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en-US" w:eastAsia="en-US" w:bidi="ar-SA"/>
              </w:rPr>
              <w:t>CUE COLUMN: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This section is used to annotate your notes on the right after listening, during review: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It is optimal this way of solving problems?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Is impossible an unbreakable protocol?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How to start thinking as a Hack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75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en-US" w:eastAsia="en-US" w:bidi="ar-SA"/>
              </w:rPr>
              <w:t>NOTES: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This section is dedicated to note-taking as you are listening to the lecture. Try to record important ideas and facts from the lecture as short, concise sentences or bullet-points: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Almost any device is vulnerable. Because almost any device is a PC.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You can be surveillance.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The SSL protocol is vulnerable. The work of a Hacker is attack almost any protocol and see where it breaks.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Hackers build from the rubbery. The question is “What can I make this do”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Even in Biology and disease control is useful think like a hacker.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</w:r>
          </w:p>
        </w:tc>
      </w:tr>
      <w:tr>
        <w:trPr/>
        <w:tc>
          <w:tcPr>
            <w:tcW w:w="1048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8"/>
                <w:szCs w:val="28"/>
                <w:lang w:val="en-US" w:eastAsia="en-US" w:bidi="ar-SA"/>
              </w:rPr>
              <w:t>SUMMARY: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This section is for the main ideas in the text to be summarized in one or two sentences after listening, during review: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The way of thinking that a Hacker have is not specific to computers but can affect almost any protocol and algorithm that exists and find ways to break it. In many times it is  </w:t>
            </w:r>
            <w:r>
              <w:rPr>
                <w:rFonts w:cs="Arial" w:ascii="Arial" w:hAnsi="Arial"/>
                <w:lang w:val="en-US"/>
              </w:rPr>
              <w:t>beneficial to think this way because can bring light to problems that might be difficult to solve.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Normal"/>
        <w:jc w:val="center"/>
        <w:rPr>
          <w:b/>
          <w:b/>
          <w:bCs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DejaVu Serif" w:hAnsi="DejaVu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9706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970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Application>LibreOffice/7.4.2.3$Linux_X86_64 LibreOffice_project/40$Build-3</Application>
  <AppVersion>15.0000</AppVersion>
  <Pages>2</Pages>
  <Words>264</Words>
  <Characters>1209</Characters>
  <CharactersWithSpaces>1445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2022-06-14T19:14:00Z</dcterms:created>
  <dc:creator>Robin Davies</dc:creator>
  <dc:description/>
  <dc:language>es-CO</dc:language>
  <cp:lastModifiedBy/>
  <dcterms:modified xsi:type="dcterms:W3CDTF">2022-11-29T09:45:46Z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