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Causal-M3: Disentangling Clinical Intent from Physiological State via Missing-Not-At-Random Causal Representation Learning for Robust CKD Risk Stratification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R. Sowmiya Bharani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Research scholar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Dept. of computer science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Saveetha College of Liberal Arts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Sciences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SIMATS Deemed to be University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Address: Saveetha Nagar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Thandalam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Chennai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Pin code: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Mail ID: sowmiyabharanir@gmail.com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Prof. Dr. Jayakarthik Ramachandran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Assistant Dean - Faculty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Dept. of Computer Science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Saveetha College of Liberal Arts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Sciences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SIMATS Deemed to be University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Address: Saveetha Nagar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Thandalam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Chennai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Pin code: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Mail ID: jayakarthickr.sclas@saveetha.com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S. Sathyakala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Research scholar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Dept. of Computer Science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Saveetha College of Liberal Arts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Sciences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SIMATS Deemed to be University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Address: Saveetha Nagar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Thandalam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Chennai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Pin code: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Mail ID: drponmurugan25@gmail.com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Dr. S. Rukmani Devi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Associate Professor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Department of Computer Science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Saveetha College of Liberal Arts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Sciences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SIMATS Deemed to be University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Address: Saveetha Nagar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Thandalam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Chennai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Pincode: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Mail ID: rukmanibaveshnambi@gmail.com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M. Rajasekar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Associate Professor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Department of computer science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Saveetha college of Liberal Arts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Sciences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Saveetha Institute of Medical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Technical Sciences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Chennai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India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Mail ID: sekarca07@gmail.com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T. Mahitha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Research Scholar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Dept. of Computer Science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Saveetha College of Liberal Arts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Sciences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SIMATS Deemed to be University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Mail ID: mahithavaradhu@gmail.com</w:t>
            </w:r>
          </w:p>
        </w:tc>
        <w:tc>
          <w:tcPr>
            <w:tcW w:type="dxa" w:w="3362"/>
          </w:tcPr>
          <w:p/>
        </w:tc>
      </w:tr>
    </w:tbl>
    <w:p>
      <w:pPr>
        <w:spacing w:after="120"/>
      </w:pPr>
    </w:p>
    <w:p>
      <w:pPr>
        <w:spacing w:after="360"/>
      </w:pPr>
    </w:p>
    <w:p>
      <w:pPr>
        <w:sectPr>
          <w:pgSz w:w="12240" w:h="15840"/>
          <w:pgMar w:top="1440" w:right="1077" w:bottom="1621" w:left="1077" w:header="0" w:footer="0" w:gutter="0"/>
          <w:cols w:space="720"/>
          <w:docGrid w:linePitch="360"/>
        </w:sectPr>
      </w:pPr>
    </w:p>
    <w:p>
      <w:pPr>
        <w:spacing w:before="240" w:after="120"/>
        <w:jc w:val="center"/>
      </w:pPr>
      <w:r>
        <w:rPr>
          <w:rFonts w:ascii="Times New Roman" w:hAnsi="Times New Roman"/>
          <w:smallCaps/>
          <w:sz w:val="20"/>
        </w:rPr>
        <w:t>CONTENT</w:t>
      </w:r>
    </w:p>
    <w:sectPr w:rsidR="00FC693F" w:rsidRPr="0006063C" w:rsidSect="00034616">
      <w:type w:val="continuous"/>
      <w:pgSz w:w="12240" w:h="15840"/>
      <w:pgMar w:top="1440" w:right="1077" w:bottom="1621" w:left="1077" w:header="0" w:footer="0" w:gutter="0"/>
      <w:docGrid w:linePitch="360"/>
      <w:cols w:num="2" w:space="454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