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Dynamic Ieee Document Formatting Verification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</w:tblGrid>
      <w:tr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1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author1@saveetha.com</w:t>
            </w:r>
          </w:p>
        </w:tc>
        <w:tc>
          <w:tcPr>
            <w:tcW w:type="dxa" w:w="5043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2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author2@saveetha.com</w:t>
            </w:r>
          </w:p>
        </w:tc>
      </w:tr>
    </w:tbl>
    <w:p>
      <w:pPr>
        <w:spacing w:after="120"/>
      </w:pPr>
    </w:p>
    <w:p>
      <w:pPr>
        <w:spacing w:after="360"/>
      </w:pPr>
    </w:p>
    <w:p>
      <w:pPr>
        <w:spacing w:after="240"/>
      </w:pPr>
    </w:p>
    <w:p>
      <w:pPr>
        <w:spacing w:before="120" w:after="240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b/>
          <w:i/>
          <w:sz w:val="18"/>
        </w:rPr>
        <w:t>Academic writing, automation, ieee, python, reportlab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introduction section follows the abstract. In IEEE format, the abstract and index terms are usually in the single-column area before the two-column body begins.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use ReportLab for PDF generation and python-docx for Word documents. The grid logic is centralized in a layout manager.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REFERENCES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[1] J. Doe, 'Testing Document Layouts,' IEEE Trans., 2026.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[2] A. Expert, 'Small Caps and Grids,' Journal of Formatting, 2025.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