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8"/>
        </w:rPr>
        <w:t>Dynamic Ieee Document Formatting Verification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1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author1@saveetha.com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2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author2@saveetha.com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3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author3@saveetha.com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4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author4@saveetha.com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5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author5@saveetha.com</w:t>
            </w:r>
          </w:p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6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author6@saveetha.com</w:t>
            </w:r>
          </w:p>
        </w:tc>
      </w:tr>
    </w:tbl>
    <w:p>
      <w:pPr>
        <w:spacing w:after="120"/>
      </w:pPr>
    </w:p>
    <w:p>
      <w:pPr>
        <w:spacing w:after="360"/>
      </w:pPr>
    </w:p>
    <w:p>
      <w:pPr>
        <w:spacing w:after="240"/>
      </w:pPr>
    </w:p>
    <w:p>
      <w:pPr>
        <w:spacing w:before="120" w:after="240"/>
        <w:jc w:val="both"/>
      </w:pPr>
      <w:r>
        <w:rPr>
          <w:rFonts w:ascii="Times New Roman" w:hAnsi="Times New Roman"/>
          <w:b/>
          <w:i/>
          <w:sz w:val="18"/>
        </w:rPr>
        <w:t>Index Terms—</w:t>
      </w:r>
      <w:r>
        <w:rPr>
          <w:rFonts w:ascii="Times New Roman" w:hAnsi="Times New Roman"/>
          <w:b/>
          <w:i/>
          <w:sz w:val="18"/>
        </w:rPr>
        <w:t>Academic writing, automation, ieee, python, reportlab</w:t>
      </w:r>
    </w:p>
    <w:p>
      <w:pPr>
        <w:sectPr>
          <w:pgSz w:w="12240" w:h="15840"/>
          <w:pgMar w:top="1440" w:right="1077" w:bottom="1621" w:left="1077" w:header="0" w:footer="0" w:gutter="0"/>
          <w:cols w:space="720"/>
          <w:docGrid w:linePitch="360"/>
        </w:sectPr>
      </w:pP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INTRODUCTION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introduction section follows the abstract. In IEEE format, the abstract and index terms are usually in the single-column area before the two-column body begins.</w:t>
      </w: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METHODOLOGY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We use ReportLab for PDF generation and python-docx for Word documents. The grid logic is centralized in a layout manager.</w:t>
      </w: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REFERENCES</w:t>
      </w:r>
    </w:p>
    <w:p>
      <w:pPr>
        <w:spacing w:after="40"/>
        <w:ind w:left="280" w:hanging="280"/>
        <w:jc w:val="left"/>
      </w:pPr>
      <w:r>
        <w:rPr>
          <w:rFonts w:ascii="Times New Roman" w:hAnsi="Times New Roman"/>
          <w:sz w:val="18"/>
        </w:rPr>
        <w:t>[1] J. Doe, 'Testing Document Layouts,' IEEE Trans., 2026.</w:t>
      </w:r>
    </w:p>
    <w:p>
      <w:pPr>
        <w:spacing w:after="40"/>
        <w:ind w:left="280" w:hanging="280"/>
        <w:jc w:val="left"/>
      </w:pPr>
      <w:r>
        <w:rPr>
          <w:rFonts w:ascii="Times New Roman" w:hAnsi="Times New Roman"/>
          <w:sz w:val="18"/>
        </w:rPr>
        <w:t>[2] A. Expert, 'Small Caps and Grids,' Journal of Formatting, 2025.</w:t>
      </w:r>
    </w:p>
    <w:sectPr w:rsidR="00FC693F" w:rsidRPr="0006063C" w:rsidSect="00034616">
      <w:type w:val="continuous"/>
      <w:pgSz w:w="12240" w:h="15840"/>
      <w:pgMar w:top="1440" w:right="1077" w:bottom="1621" w:left="1077" w:header="0" w:footer="0" w:gutter="0"/>
      <w:docGrid w:linePitch="360"/>
      <w:cols w:num="2" w:space="454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