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36402">
      <w:pPr>
        <w:pStyle w:val="31"/>
      </w:pPr>
      <w:r>
        <w:rPr>
          <w:rFonts w:ascii="微软雅黑" w:hAnsi="微软雅黑" w:eastAsia="微软雅黑"/>
        </w:rPr>
        <w:t>专家评分规则 · 五星制</w:t>
      </w:r>
    </w:p>
    <w:p w14:paraId="6FB01FFC">
      <w:pPr>
        <w:pStyle w:val="4"/>
      </w:pPr>
      <w:r>
        <w:rPr>
          <w:rFonts w:ascii="微软雅黑" w:hAnsi="微软雅黑" w:eastAsia="微软雅黑"/>
        </w:rPr>
        <w:t>一、评分结构与计算</w:t>
      </w:r>
    </w:p>
    <w:p w14:paraId="5CF3600D">
      <w:r>
        <w:rPr>
          <w:rFonts w:ascii="微软雅黑" w:hAnsi="微软雅黑" w:eastAsia="微软雅黑"/>
        </w:rPr>
        <w:t>设置综合、专业度、影响力 3 项评分，覆盖 5 个评分项，具体设置如下：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FB0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D9E2F3"/>
          </w:tcPr>
          <w:p w14:paraId="249583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w="2340" w:type="dxa"/>
            <w:shd w:val="clear" w:color="auto" w:fill="D9E2F3"/>
          </w:tcPr>
          <w:p w14:paraId="00BFB6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评分项</w:t>
            </w:r>
          </w:p>
        </w:tc>
        <w:tc>
          <w:tcPr>
            <w:tcW w:w="2340" w:type="dxa"/>
            <w:shd w:val="clear" w:color="auto" w:fill="D9E2F3"/>
          </w:tcPr>
          <w:p w14:paraId="60013D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占比</w:t>
            </w:r>
          </w:p>
        </w:tc>
        <w:tc>
          <w:tcPr>
            <w:tcW w:w="2340" w:type="dxa"/>
            <w:shd w:val="clear" w:color="auto" w:fill="D9E2F3"/>
          </w:tcPr>
          <w:p w14:paraId="165784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综合星</w:t>
            </w:r>
          </w:p>
        </w:tc>
      </w:tr>
      <w:tr w14:paraId="76FF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C0E11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专业度</w:t>
            </w:r>
          </w:p>
        </w:tc>
        <w:tc>
          <w:tcPr>
            <w:tcW w:w="2340" w:type="dxa"/>
          </w:tcPr>
          <w:p w14:paraId="6CB560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① 学历与学术背景 · ② 行业资质与认证 · ③ 专业成果与经验</w:t>
            </w:r>
          </w:p>
        </w:tc>
        <w:tc>
          <w:tcPr>
            <w:tcW w:w="2340" w:type="dxa"/>
          </w:tcPr>
          <w:p w14:paraId="265B58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60%（各</w:t>
            </w:r>
            <w:bookmarkStart w:id="0" w:name="_GoBack"/>
            <w:bookmarkEnd w:id="0"/>
            <w:r>
              <w:rPr>
                <w:rFonts w:ascii="微软雅黑" w:hAnsi="微软雅黑" w:eastAsia="微软雅黑"/>
              </w:rPr>
              <w:t>项各 20%）</w:t>
            </w:r>
          </w:p>
        </w:tc>
        <w:tc>
          <w:tcPr>
            <w:tcW w:w="2340" w:type="dxa"/>
            <w:vMerge w:val="restart"/>
          </w:tcPr>
          <w:p w14:paraId="5FCA7D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专业度 × 60% + 影响力 × 40%，保留 1 位小数</w:t>
            </w:r>
          </w:p>
        </w:tc>
      </w:tr>
      <w:tr w14:paraId="4BEB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153A8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影响力</w:t>
            </w:r>
          </w:p>
        </w:tc>
        <w:tc>
          <w:tcPr>
            <w:tcW w:w="2340" w:type="dxa"/>
          </w:tcPr>
          <w:p w14:paraId="44F1A9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④ 社会荣誉与奖项 · ⑤ 职称、管理履历与行业地位</w:t>
            </w:r>
          </w:p>
        </w:tc>
        <w:tc>
          <w:tcPr>
            <w:tcW w:w="2340" w:type="dxa"/>
          </w:tcPr>
          <w:p w14:paraId="133B19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40%（各项各 20%）</w:t>
            </w:r>
          </w:p>
        </w:tc>
        <w:tc>
          <w:tcPr>
            <w:tcW w:w="2340" w:type="dxa"/>
            <w:vMerge w:val="continue"/>
            <w:tcBorders/>
          </w:tcPr>
          <w:p w14:paraId="32EA7BEF">
            <w:pPr>
              <w:spacing w:after="0" w:line="240" w:lineRule="auto"/>
            </w:pPr>
          </w:p>
        </w:tc>
      </w:tr>
    </w:tbl>
    <w:p w14:paraId="331D9E82"/>
    <w:p w14:paraId="30B0622D">
      <w:pPr>
        <w:pStyle w:val="4"/>
      </w:pPr>
      <w:r>
        <w:rPr>
          <w:rFonts w:ascii="微软雅黑" w:hAnsi="微软雅黑" w:eastAsia="微软雅黑"/>
        </w:rPr>
        <w:t>二、评分规则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7D8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shd w:val="clear" w:color="auto" w:fill="D9E2F3"/>
          </w:tcPr>
          <w:p w14:paraId="1DD8B6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评分项</w:t>
            </w:r>
          </w:p>
        </w:tc>
        <w:tc>
          <w:tcPr>
            <w:tcW w:w="1560" w:type="dxa"/>
            <w:shd w:val="clear" w:color="auto" w:fill="D9E2F3"/>
          </w:tcPr>
          <w:p w14:paraId="39F25C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1★</w:t>
            </w:r>
          </w:p>
        </w:tc>
        <w:tc>
          <w:tcPr>
            <w:tcW w:w="1560" w:type="dxa"/>
            <w:shd w:val="clear" w:color="auto" w:fill="D9E2F3"/>
          </w:tcPr>
          <w:p w14:paraId="342E55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2★</w:t>
            </w:r>
          </w:p>
        </w:tc>
        <w:tc>
          <w:tcPr>
            <w:tcW w:w="1560" w:type="dxa"/>
            <w:shd w:val="clear" w:color="auto" w:fill="D9E2F3"/>
          </w:tcPr>
          <w:p w14:paraId="720E63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3★</w:t>
            </w:r>
          </w:p>
        </w:tc>
        <w:tc>
          <w:tcPr>
            <w:tcW w:w="1560" w:type="dxa"/>
            <w:shd w:val="clear" w:color="auto" w:fill="D9E2F3"/>
          </w:tcPr>
          <w:p w14:paraId="54C520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4★</w:t>
            </w:r>
          </w:p>
        </w:tc>
        <w:tc>
          <w:tcPr>
            <w:tcW w:w="1560" w:type="dxa"/>
            <w:shd w:val="clear" w:color="auto" w:fill="D9E2F3"/>
          </w:tcPr>
          <w:p w14:paraId="0B75E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5★</w:t>
            </w:r>
          </w:p>
        </w:tc>
      </w:tr>
      <w:tr w14:paraId="487A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FBE65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① 学历与学术背景</w:t>
            </w:r>
          </w:p>
        </w:tc>
        <w:tc>
          <w:tcPr>
            <w:tcW w:w="1560" w:type="dxa"/>
          </w:tcPr>
          <w:p w14:paraId="1AA79E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大专 / 中专及以下</w:t>
            </w:r>
          </w:p>
        </w:tc>
        <w:tc>
          <w:tcPr>
            <w:tcW w:w="1560" w:type="dxa"/>
          </w:tcPr>
          <w:p w14:paraId="1A363C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普通本科（一般院校）</w:t>
            </w:r>
          </w:p>
        </w:tc>
        <w:tc>
          <w:tcPr>
            <w:tcW w:w="1560" w:type="dxa"/>
          </w:tcPr>
          <w:p w14:paraId="216195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较好本科（211 / 双一流）或 普通硕士（授课型 / 一般院校）</w:t>
            </w:r>
          </w:p>
        </w:tc>
        <w:tc>
          <w:tcPr>
            <w:tcW w:w="1560" w:type="dxa"/>
          </w:tcPr>
          <w:p w14:paraId="1A7CD6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名校硕士（985 / 双一流 / 海外知名）或 普通博士</w:t>
            </w:r>
          </w:p>
        </w:tc>
        <w:tc>
          <w:tcPr>
            <w:tcW w:w="1560" w:type="dxa"/>
          </w:tcPr>
          <w:p w14:paraId="279FB9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博士 + 顶尖院校（清北 / C9 / QS 前 50 等）</w:t>
            </w:r>
          </w:p>
        </w:tc>
      </w:tr>
      <w:tr w14:paraId="687B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542876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② 行业资质与认证</w:t>
            </w:r>
          </w:p>
        </w:tc>
        <w:tc>
          <w:tcPr>
            <w:tcW w:w="1560" w:type="dxa"/>
          </w:tcPr>
          <w:p w14:paraId="1D504B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无相关认证</w:t>
            </w:r>
          </w:p>
        </w:tc>
        <w:tc>
          <w:tcPr>
            <w:tcW w:w="1560" w:type="dxa"/>
          </w:tcPr>
          <w:p w14:paraId="522052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培训 / 通用认证</w:t>
            </w:r>
          </w:p>
        </w:tc>
        <w:tc>
          <w:tcPr>
            <w:tcW w:w="1560" w:type="dxa"/>
          </w:tcPr>
          <w:p w14:paraId="4B7AAB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行业厂商认证（华为 / 微软等）或 国家级执业资格（单一）</w:t>
            </w:r>
          </w:p>
        </w:tc>
        <w:tc>
          <w:tcPr>
            <w:tcW w:w="1560" w:type="dxa"/>
          </w:tcPr>
          <w:p w14:paraId="23EFA1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国家级执业 / 行业权威认证（多重领域）</w:t>
            </w:r>
          </w:p>
        </w:tc>
        <w:tc>
          <w:tcPr>
            <w:tcW w:w="1560" w:type="dxa"/>
          </w:tcPr>
          <w:p w14:paraId="4B95C3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国际权威认证（CFA / CPA / ACCA 等）或 多顶国家级</w:t>
            </w:r>
          </w:p>
        </w:tc>
      </w:tr>
      <w:tr w14:paraId="32FB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2F199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③ 专业成果与经验</w:t>
            </w:r>
          </w:p>
        </w:tc>
        <w:tc>
          <w:tcPr>
            <w:tcW w:w="1560" w:type="dxa"/>
          </w:tcPr>
          <w:p w14:paraId="0B9626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一般服务经验 / 仅公开演讲</w:t>
            </w:r>
          </w:p>
        </w:tc>
        <w:tc>
          <w:tcPr>
            <w:tcW w:w="1560" w:type="dxa"/>
          </w:tcPr>
          <w:p w14:paraId="5480B8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参与级项目 / 普通论文</w:t>
            </w:r>
          </w:p>
        </w:tc>
        <w:tc>
          <w:tcPr>
            <w:tcW w:w="1560" w:type="dxa"/>
          </w:tcPr>
          <w:p w14:paraId="2C46F0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省级 / 行业级项目 · SCI/EI 论文</w:t>
            </w:r>
          </w:p>
        </w:tc>
        <w:tc>
          <w:tcPr>
            <w:tcW w:w="1560" w:type="dxa"/>
          </w:tcPr>
          <w:p w14:paraId="4AEF1B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战略级 / 国家级项目 · 顶刊论文</w:t>
            </w:r>
          </w:p>
        </w:tc>
        <w:tc>
          <w:tcPr>
            <w:tcW w:w="1560" w:type="dxa"/>
          </w:tcPr>
          <w:p w14:paraId="54DD7B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标杆级（牵头国标行标 / 高被引 / 重大成果转化）</w:t>
            </w:r>
          </w:p>
        </w:tc>
      </w:tr>
      <w:tr w14:paraId="5201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0FE1A9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④ 社会荣誉与奖项</w:t>
            </w:r>
          </w:p>
        </w:tc>
        <w:tc>
          <w:tcPr>
            <w:tcW w:w="1560" w:type="dxa"/>
          </w:tcPr>
          <w:p w14:paraId="759B0E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无荣誉 / 一般协会成员</w:t>
            </w:r>
          </w:p>
        </w:tc>
        <w:tc>
          <w:tcPr>
            <w:tcW w:w="1560" w:type="dxa"/>
          </w:tcPr>
          <w:p w14:paraId="65C7E4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地市级荣誉 / 国家级学会成员</w:t>
            </w:r>
          </w:p>
        </w:tc>
        <w:tc>
          <w:tcPr>
            <w:tcW w:w="1560" w:type="dxa"/>
          </w:tcPr>
          <w:p w14:paraId="4E6B56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省部级荣誉或称号</w:t>
            </w:r>
          </w:p>
        </w:tc>
        <w:tc>
          <w:tcPr>
            <w:tcW w:w="1560" w:type="dxa"/>
          </w:tcPr>
          <w:p w14:paraId="1C792C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国家级荣誉或称号</w:t>
            </w:r>
          </w:p>
        </w:tc>
        <w:tc>
          <w:tcPr>
            <w:tcW w:w="1560" w:type="dxa"/>
          </w:tcPr>
          <w:p w14:paraId="0DD2B5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顶尖人才（两院院士 / 国家级人才计划）</w:t>
            </w:r>
          </w:p>
        </w:tc>
      </w:tr>
      <w:tr w14:paraId="110D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C1EBD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⑤ 职称、管理履历与行业地位</w:t>
            </w:r>
          </w:p>
        </w:tc>
        <w:tc>
          <w:tcPr>
            <w:tcW w:w="1560" w:type="dxa"/>
          </w:tcPr>
          <w:p w14:paraId="23A373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无职称 / 基层岗位</w:t>
            </w:r>
          </w:p>
        </w:tc>
        <w:tc>
          <w:tcPr>
            <w:tcW w:w="1560" w:type="dxa"/>
          </w:tcPr>
          <w:p w14:paraId="6F9868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经理 / 高工 / 主管（普通企业）</w:t>
            </w:r>
          </w:p>
        </w:tc>
        <w:tc>
          <w:tcPr>
            <w:tcW w:w="1560" w:type="dxa"/>
          </w:tcPr>
          <w:p w14:paraId="676C10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副教授 / 总监 / VP / 合伙人（或同等级别 + 普通企业）</w:t>
            </w:r>
          </w:p>
        </w:tc>
        <w:tc>
          <w:tcPr>
            <w:tcW w:w="1560" w:type="dxa"/>
          </w:tcPr>
          <w:p w14:paraId="3B08CB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教授 / CEO / 创始人（行业百强 / 大厂）</w:t>
            </w:r>
          </w:p>
        </w:tc>
        <w:tc>
          <w:tcPr>
            <w:tcW w:w="1560" w:type="dxa"/>
          </w:tcPr>
          <w:p w14:paraId="099C15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教授 / CEO / 创始人（世界 500 强 / 央企 / 上市公司）</w:t>
            </w:r>
          </w:p>
        </w:tc>
      </w:tr>
    </w:tbl>
    <w:p w14:paraId="2D67952E"/>
    <w:p w14:paraId="12D6CBD4">
      <w:r>
        <w:rPr>
          <w:rFonts w:ascii="微软雅黑" w:hAnsi="微软雅黑" w:eastAsia="微软雅黑"/>
        </w:rPr>
        <w:t>信息缺失（未填 / 未公开 / 无法核实）的评分项，默认 3★。</w:t>
      </w:r>
    </w:p>
    <w:p w14:paraId="4AE52FC6">
      <w:pPr>
        <w:pStyle w:val="4"/>
      </w:pPr>
      <w:r>
        <w:rPr>
          <w:rFonts w:ascii="微软雅黑" w:hAnsi="微软雅黑" w:eastAsia="微软雅黑"/>
        </w:rPr>
        <w:t>三、观察库与调分建议</w:t>
      </w:r>
    </w:p>
    <w:p w14:paraId="400D2176">
      <w:r>
        <w:rPr>
          <w:rFonts w:ascii="微软雅黑" w:hAnsi="微软雅黑" w:eastAsia="微软雅黑"/>
          <w:b/>
        </w:rPr>
        <w:t>进入观察库</w:t>
      </w:r>
      <w:r>
        <w:rPr>
          <w:rFonts w:ascii="微软雅黑" w:hAnsi="微软雅黑" w:eastAsia="微软雅黑"/>
        </w:rPr>
        <w:t>：综合星 &lt; 3★（不含 3★），不在前端对外展示。</w:t>
      </w:r>
    </w:p>
    <w:p w14:paraId="2D188B90">
      <w:r>
        <w:rPr>
          <w:rFonts w:ascii="微软雅黑" w:hAnsi="微软雅黑" w:eastAsia="微软雅黑"/>
          <w:b/>
        </w:rPr>
        <w:t>操作顺序</w:t>
      </w:r>
      <w:r>
        <w:rPr>
          <w:rFonts w:ascii="微软雅黑" w:hAnsi="微软雅黑" w:eastAsia="微软雅黑"/>
        </w:rPr>
        <w:t>：先复核硬指标（补录漏填信息、修正误评项）→ 再结合下表参考调整。</w:t>
      </w:r>
    </w:p>
    <w:p w14:paraId="3367F081">
      <w:r>
        <w:rPr>
          <w:rFonts w:ascii="微软雅黑" w:hAnsi="微软雅黑" w:eastAsia="微软雅黑"/>
        </w:rPr>
        <w:t>过往服务经历、与我司已合作项目已在专家详情页展示，不作为打分项，由管理员根据实际情况判断，建议如下：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5EC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D9E2F3"/>
          </w:tcPr>
          <w:p w14:paraId="790E70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服务情况</w:t>
            </w:r>
          </w:p>
        </w:tc>
        <w:tc>
          <w:tcPr>
            <w:tcW w:w="4680" w:type="dxa"/>
            <w:shd w:val="clear" w:color="auto" w:fill="D9E2F3"/>
          </w:tcPr>
          <w:p w14:paraId="6BEE6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参考建议</w:t>
            </w:r>
          </w:p>
        </w:tc>
      </w:tr>
      <w:tr w14:paraId="2383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5028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与我司有合作且满意度高</w:t>
            </w:r>
          </w:p>
        </w:tc>
        <w:tc>
          <w:tcPr>
            <w:tcW w:w="4680" w:type="dxa"/>
          </w:tcPr>
          <w:p w14:paraId="22327B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将 ④ 荣誉调至 3★ 或 ⑤ 职称调至 3.5~4★，调整后综合 ≥ 3★ 则自动在前端展示；若交付能力突出，也可两项都调整</w:t>
            </w:r>
          </w:p>
        </w:tc>
      </w:tr>
      <w:tr w14:paraId="27C2A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F95BC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与我司有合作但反馈一般</w:t>
            </w:r>
          </w:p>
        </w:tc>
        <w:tc>
          <w:tcPr>
            <w:tcW w:w="4680" w:type="dxa"/>
          </w:tcPr>
          <w:p w14:paraId="1C77F6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维持现有评分；若硬指标本身接近 3★（如 2.8~2.9），可小幅上调其中一项至达标</w:t>
            </w:r>
          </w:p>
        </w:tc>
      </w:tr>
      <w:tr w14:paraId="6EFA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A9E42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有服务记录，无我司合作</w:t>
            </w:r>
          </w:p>
        </w:tc>
        <w:tc>
          <w:tcPr>
            <w:tcW w:w="4680" w:type="dxa"/>
          </w:tcPr>
          <w:p w14:paraId="10AC37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正常参考，不做额外调整</w:t>
            </w:r>
          </w:p>
        </w:tc>
      </w:tr>
      <w:tr w14:paraId="629F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0CD0B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无任何服务/合作记录（未知）</w:t>
            </w:r>
          </w:p>
        </w:tc>
        <w:tc>
          <w:tcPr>
            <w:tcW w:w="4680" w:type="dxa"/>
          </w:tcPr>
          <w:p w14:paraId="5B06E3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维持现有评分；若硬指标偏高（专业度 ≥ 4★），标记待后续核实交付能力后再定</w:t>
            </w:r>
          </w:p>
        </w:tc>
      </w:tr>
      <w:tr w14:paraId="4B0D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462B4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合作过但不合适</w:t>
            </w:r>
          </w:p>
        </w:tc>
        <w:tc>
          <w:tcPr>
            <w:tcW w:w="4680" w:type="dxa"/>
          </w:tcPr>
          <w:p w14:paraId="0A2777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直接从专家库中移除</w:t>
            </w:r>
          </w:p>
        </w:tc>
      </w:tr>
    </w:tbl>
    <w:p w14:paraId="30579D45"/>
    <w:p w14:paraId="44100AE0">
      <w:pPr>
        <w:pStyle w:val="4"/>
      </w:pPr>
      <w:r>
        <w:rPr>
          <w:rFonts w:ascii="微软雅黑" w:hAnsi="微软雅黑" w:eastAsia="微软雅黑"/>
        </w:rPr>
        <w:t>四、测算</w:t>
      </w:r>
    </w:p>
    <w:p w14:paraId="7BF1F3EE">
      <w:pPr>
        <w:pStyle w:val="5"/>
      </w:pPr>
      <w:r>
        <w:rPr>
          <w:rFonts w:ascii="微软雅黑" w:hAnsi="微软雅黑" w:eastAsia="微软雅黑"/>
        </w:rPr>
        <w:t>4.1 极端情形验证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5213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D9E2F3"/>
          </w:tcPr>
          <w:p w14:paraId="0513FE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情形</w:t>
            </w:r>
          </w:p>
        </w:tc>
        <w:tc>
          <w:tcPr>
            <w:tcW w:w="1170" w:type="dxa"/>
            <w:shd w:val="clear" w:color="auto" w:fill="D9E2F3"/>
          </w:tcPr>
          <w:p w14:paraId="44690C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①</w:t>
            </w:r>
          </w:p>
        </w:tc>
        <w:tc>
          <w:tcPr>
            <w:tcW w:w="1170" w:type="dxa"/>
            <w:shd w:val="clear" w:color="auto" w:fill="D9E2F3"/>
          </w:tcPr>
          <w:p w14:paraId="42C1BC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②</w:t>
            </w:r>
          </w:p>
        </w:tc>
        <w:tc>
          <w:tcPr>
            <w:tcW w:w="1170" w:type="dxa"/>
            <w:shd w:val="clear" w:color="auto" w:fill="D9E2F3"/>
          </w:tcPr>
          <w:p w14:paraId="7413C5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③</w:t>
            </w:r>
          </w:p>
        </w:tc>
        <w:tc>
          <w:tcPr>
            <w:tcW w:w="1170" w:type="dxa"/>
            <w:shd w:val="clear" w:color="auto" w:fill="D9E2F3"/>
          </w:tcPr>
          <w:p w14:paraId="2E5C00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④</w:t>
            </w:r>
          </w:p>
        </w:tc>
        <w:tc>
          <w:tcPr>
            <w:tcW w:w="1170" w:type="dxa"/>
            <w:shd w:val="clear" w:color="auto" w:fill="D9E2F3"/>
          </w:tcPr>
          <w:p w14:paraId="49AD6C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⑤</w:t>
            </w:r>
          </w:p>
        </w:tc>
        <w:tc>
          <w:tcPr>
            <w:tcW w:w="1170" w:type="dxa"/>
            <w:shd w:val="clear" w:color="auto" w:fill="D9E2F3"/>
          </w:tcPr>
          <w:p w14:paraId="6B1A08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综合星</w:t>
            </w:r>
          </w:p>
        </w:tc>
        <w:tc>
          <w:tcPr>
            <w:tcW w:w="1170" w:type="dxa"/>
            <w:shd w:val="clear" w:color="auto" w:fill="D9E2F3"/>
          </w:tcPr>
          <w:p w14:paraId="5903A8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是否进观察库</w:t>
            </w:r>
          </w:p>
        </w:tc>
      </w:tr>
      <w:tr w14:paraId="1339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39176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全部缺失（默认 3★）</w:t>
            </w:r>
          </w:p>
        </w:tc>
        <w:tc>
          <w:tcPr>
            <w:tcW w:w="1170" w:type="dxa"/>
          </w:tcPr>
          <w:p w14:paraId="21A9C6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2801CC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007599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04BECC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446612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5C2F31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3.0</w:t>
            </w:r>
          </w:p>
        </w:tc>
        <w:tc>
          <w:tcPr>
            <w:tcW w:w="1170" w:type="dxa"/>
          </w:tcPr>
          <w:p w14:paraId="2129B3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否（恰好 3★）</w:t>
            </w:r>
          </w:p>
        </w:tc>
      </w:tr>
      <w:tr w14:paraId="40DC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ABC25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全部满星</w:t>
            </w:r>
          </w:p>
        </w:tc>
        <w:tc>
          <w:tcPr>
            <w:tcW w:w="1170" w:type="dxa"/>
          </w:tcPr>
          <w:p w14:paraId="2A2692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0D2F3F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6CD716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30CC52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0D6C30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1ADA27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5.0</w:t>
            </w:r>
          </w:p>
        </w:tc>
        <w:tc>
          <w:tcPr>
            <w:tcW w:w="1170" w:type="dxa"/>
          </w:tcPr>
          <w:p w14:paraId="320B4F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  <w:tr w14:paraId="0EA2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396395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全部最低</w:t>
            </w:r>
          </w:p>
        </w:tc>
        <w:tc>
          <w:tcPr>
            <w:tcW w:w="1170" w:type="dxa"/>
          </w:tcPr>
          <w:p w14:paraId="409509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6995B4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31DD01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6EB514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2EA04B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6AA3BA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w="1170" w:type="dxa"/>
          </w:tcPr>
          <w:p w14:paraId="21708C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5EE0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25FE76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专业度满星、影响力最低</w:t>
            </w:r>
          </w:p>
        </w:tc>
        <w:tc>
          <w:tcPr>
            <w:tcW w:w="1170" w:type="dxa"/>
          </w:tcPr>
          <w:p w14:paraId="62BF5B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2170CA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1767D0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38EDE1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5BAE7F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009BDB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3.4</w:t>
            </w:r>
          </w:p>
        </w:tc>
        <w:tc>
          <w:tcPr>
            <w:tcW w:w="1170" w:type="dxa"/>
          </w:tcPr>
          <w:p w14:paraId="0C7F6D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  <w:tr w14:paraId="5614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1754DC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专业度最低、影响力满星</w:t>
            </w:r>
          </w:p>
        </w:tc>
        <w:tc>
          <w:tcPr>
            <w:tcW w:w="1170" w:type="dxa"/>
          </w:tcPr>
          <w:p w14:paraId="629C6F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41FBC4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7FF7AD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70" w:type="dxa"/>
          </w:tcPr>
          <w:p w14:paraId="18DB68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0C017E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098325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2.6</w:t>
            </w:r>
          </w:p>
        </w:tc>
        <w:tc>
          <w:tcPr>
            <w:tcW w:w="1170" w:type="dxa"/>
          </w:tcPr>
          <w:p w14:paraId="0ABFEC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3E8D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2025D2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仅学历满星，其余默认</w:t>
            </w:r>
          </w:p>
        </w:tc>
        <w:tc>
          <w:tcPr>
            <w:tcW w:w="1170" w:type="dxa"/>
          </w:tcPr>
          <w:p w14:paraId="7986AA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170" w:type="dxa"/>
          </w:tcPr>
          <w:p w14:paraId="445AB7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1DDB85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1EF740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315904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70" w:type="dxa"/>
          </w:tcPr>
          <w:p w14:paraId="1FB0BC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3.4</w:t>
            </w:r>
          </w:p>
        </w:tc>
        <w:tc>
          <w:tcPr>
            <w:tcW w:w="1170" w:type="dxa"/>
          </w:tcPr>
          <w:p w14:paraId="35969C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</w:tbl>
    <w:p w14:paraId="3EED12ED"/>
    <w:p w14:paraId="767150A2">
      <w:pPr>
        <w:pStyle w:val="5"/>
      </w:pPr>
      <w:r>
        <w:rPr>
          <w:rFonts w:ascii="微软雅黑" w:hAnsi="微软雅黑" w:eastAsia="微软雅黑"/>
        </w:rPr>
        <w:t>4.2 真实专家抽样</w:t>
      </w:r>
    </w:p>
    <w:p w14:paraId="408D989B">
      <w:r>
        <w:rPr>
          <w:rFonts w:ascii="微软雅黑" w:hAnsi="微软雅黑" w:eastAsia="微软雅黑"/>
        </w:rPr>
        <w:t>以下从现有专家中抽取代表，按本规则逐项打星：</w:t>
      </w:r>
    </w:p>
    <w:p w14:paraId="6E80942E">
      <w:r>
        <w:rPr>
          <w:rFonts w:ascii="微软雅黑" w:hAnsi="微软雅黑" w:eastAsia="微软雅黑"/>
          <w:b/>
        </w:rPr>
        <w:t>方明（顶尖型）</w:t>
      </w:r>
    </w:p>
    <w:p w14:paraId="7CDF1D90">
      <w:pPr>
        <w:pStyle w:val="16"/>
      </w:pPr>
      <w:r>
        <w:rPr>
          <w:rFonts w:ascii="微软雅黑" w:hAnsi="微软雅黑" w:eastAsia="微软雅黑"/>
        </w:rPr>
        <w:t>① 清华工程博士 → 5★　② 教授级高工 + 多认证讲师 → 4★　③ 主导国家级项目 → 5★</w:t>
      </w:r>
    </w:p>
    <w:p w14:paraId="3A780197">
      <w:pPr>
        <w:pStyle w:val="16"/>
      </w:pPr>
      <w:r>
        <w:rPr>
          <w:rFonts w:ascii="微软雅黑" w:hAnsi="微软雅黑" w:eastAsia="微软雅黑"/>
        </w:rPr>
        <w:t>④ 俄罗斯工程院外籍院士 → 5★　⑤ 教授级高工 + 上市公司副总裁 → 5★</w:t>
      </w:r>
    </w:p>
    <w:p w14:paraId="1B9355BC">
      <w:pPr>
        <w:pStyle w:val="16"/>
      </w:pPr>
      <w:r>
        <w:rPr>
          <w:rFonts w:ascii="微软雅黑" w:hAnsi="微软雅黑" w:eastAsia="微软雅黑"/>
        </w:rPr>
        <w:t xml:space="preserve">综合星 = </w:t>
      </w:r>
      <w:r>
        <w:rPr>
          <w:rFonts w:ascii="微软雅黑" w:hAnsi="微软雅黑" w:eastAsia="微软雅黑"/>
          <w:b/>
        </w:rPr>
        <w:t>4.8★</w:t>
      </w:r>
      <w:r>
        <w:rPr>
          <w:rFonts w:ascii="微软雅黑" w:hAnsi="微软雅黑" w:eastAsia="微软雅黑"/>
        </w:rPr>
        <w:t xml:space="preserve"> → 不进观察库</w:t>
      </w:r>
    </w:p>
    <w:p w14:paraId="2C096130">
      <w:r>
        <w:rPr>
          <w:rFonts w:ascii="微软雅黑" w:hAnsi="微软雅黑" w:eastAsia="微软雅黑"/>
          <w:b/>
        </w:rPr>
        <w:t>孔令涛（实战型讲师）— 进观察库</w:t>
      </w:r>
    </w:p>
    <w:p w14:paraId="1437EB6F">
      <w:pPr>
        <w:pStyle w:val="16"/>
      </w:pPr>
      <w:r>
        <w:rPr>
          <w:rFonts w:ascii="微软雅黑" w:hAnsi="微软雅黑" w:eastAsia="微软雅黑"/>
        </w:rPr>
        <w:t>① 学历未公开 → 3★　② 工信部认证讲师 → 3★　③ 13 年经验、无标杆成果 → 3★</w:t>
      </w:r>
    </w:p>
    <w:p w14:paraId="523FB58A">
      <w:pPr>
        <w:pStyle w:val="16"/>
      </w:pPr>
      <w:r>
        <w:rPr>
          <w:rFonts w:ascii="微软雅黑" w:hAnsi="微软雅黑" w:eastAsia="微软雅黑"/>
        </w:rPr>
        <w:t>④ 无明确荣誉 → 2★　⑤ 研究员 / 教研总监 / 高工 → 2★</w:t>
      </w:r>
    </w:p>
    <w:p w14:paraId="3A185E10">
      <w:pPr>
        <w:pStyle w:val="16"/>
      </w:pPr>
      <w:r>
        <w:rPr>
          <w:rFonts w:ascii="微软雅黑" w:hAnsi="微软雅黑" w:eastAsia="微软雅黑"/>
        </w:rPr>
        <w:t xml:space="preserve">综合星 = </w:t>
      </w:r>
      <w:r>
        <w:rPr>
          <w:rFonts w:ascii="微软雅黑" w:hAnsi="微软雅黑" w:eastAsia="微软雅黑"/>
          <w:b/>
        </w:rPr>
        <w:t>2.6★</w:t>
      </w:r>
    </w:p>
    <w:p w14:paraId="697BF0AF">
      <w:pPr>
        <w:ind w:left="360"/>
      </w:pPr>
      <w:r>
        <w:rPr>
          <w:rFonts w:ascii="微软雅黑" w:hAnsi="微软雅黑" w:eastAsia="微软雅黑"/>
          <w:b/>
          <w:i/>
        </w:rPr>
        <w:t>管理员操作建议</w:t>
      </w:r>
      <w:r>
        <w:rPr>
          <w:rFonts w:ascii="微软雅黑" w:hAnsi="微软雅黑" w:eastAsia="微软雅黑"/>
          <w:i/>
        </w:rPr>
        <w:t xml:space="preserve">： 1. 主要拉分点在学历未公开和荣誉/职称偏低。优先核实学历：若为本科及以上，将 ① 调至对应星级。 2. 若该专家曾为我司提供过培训/咨询服务且反馈良好：按上表，将 ④ 荣誉调至 3★，综合可达 </w:t>
      </w:r>
      <w:r>
        <w:rPr>
          <w:rFonts w:ascii="微软雅黑" w:hAnsi="微软雅黑" w:eastAsia="微软雅黑"/>
          <w:b/>
          <w:i/>
        </w:rPr>
        <w:t>3.0~3.2</w:t>
      </w:r>
      <w:r>
        <w:rPr>
          <w:rFonts w:ascii="微软雅黑" w:hAnsi="微软雅黑" w:eastAsia="微软雅黑"/>
          <w:i/>
        </w:rPr>
        <w:t>，自动在前端展示。 3. 若无法核实学历且无合作记录：维持现有评分，留在观察库。</w:t>
      </w:r>
    </w:p>
    <w:p w14:paraId="6F686EB7">
      <w:r>
        <w:rPr>
          <w:rFonts w:ascii="微软雅黑" w:hAnsi="微软雅黑" w:eastAsia="微软雅黑"/>
          <w:b/>
        </w:rPr>
        <w:t>卢森煌（创业 + 产品型）— 进观察库</w:t>
      </w:r>
    </w:p>
    <w:p w14:paraId="4436811A">
      <w:pPr>
        <w:pStyle w:val="16"/>
      </w:pPr>
      <w:r>
        <w:rPr>
          <w:rFonts w:ascii="微软雅黑" w:hAnsi="微软雅黑" w:eastAsia="微软雅黑"/>
        </w:rPr>
        <w:t>① 北邮（211）学士 → 3★　② 认证讲师 → 2★　③ 25 软著 + 3 专利 + 著书 → 4★</w:t>
      </w:r>
    </w:p>
    <w:p w14:paraId="4CFB2490">
      <w:pPr>
        <w:pStyle w:val="16"/>
      </w:pPr>
      <w:r>
        <w:rPr>
          <w:rFonts w:ascii="微软雅黑" w:hAnsi="微软雅黑" w:eastAsia="微软雅黑"/>
        </w:rPr>
        <w:t>④ 企业讲师奖 → 2★　⑤ 创始人 / 前阿里产品经理 → 3★</w:t>
      </w:r>
    </w:p>
    <w:p w14:paraId="58A50C70">
      <w:pPr>
        <w:pStyle w:val="16"/>
      </w:pPr>
      <w:r>
        <w:rPr>
          <w:rFonts w:ascii="微软雅黑" w:hAnsi="微软雅黑" w:eastAsia="微软雅黑"/>
        </w:rPr>
        <w:t xml:space="preserve">综合星 = </w:t>
      </w:r>
      <w:r>
        <w:rPr>
          <w:rFonts w:ascii="微软雅黑" w:hAnsi="微软雅黑" w:eastAsia="微软雅黑"/>
          <w:b/>
        </w:rPr>
        <w:t>2.8★</w:t>
      </w:r>
    </w:p>
    <w:p w14:paraId="7957707A">
      <w:pPr>
        <w:ind w:left="360"/>
      </w:pPr>
      <w:r>
        <w:rPr>
          <w:rFonts w:ascii="微软雅黑" w:hAnsi="微软雅黑" w:eastAsia="微软雅黑"/>
          <w:b/>
          <w:i/>
        </w:rPr>
        <w:t>管理员操作建议</w:t>
      </w:r>
      <w:r>
        <w:rPr>
          <w:rFonts w:ascii="微软雅黑" w:hAnsi="微软雅黑" w:eastAsia="微软雅黑"/>
          <w:i/>
        </w:rPr>
        <w:t xml:space="preserve">： 1. 成果项（③=4★）和职称项（⑤=3★）不弱，短板在资质（②=2★）和荣誉（④=2★）。若软著/专利中有较有影响力的（如已被引用或商业化），将 ③ 调至 4.5~5★。 2. 若该专家曾参与我司项目或合作：将 ④ 荣誉调至 3★、⑤ 职称调至 3.5~4★，综合可达 </w:t>
      </w:r>
      <w:r>
        <w:rPr>
          <w:rFonts w:ascii="微软雅黑" w:hAnsi="微软雅黑" w:eastAsia="微软雅黑"/>
          <w:b/>
          <w:i/>
        </w:rPr>
        <w:t>3.2</w:t>
      </w:r>
      <w:r>
        <w:rPr>
          <w:rFonts w:ascii="微软雅黑" w:hAnsi="微软雅黑" w:eastAsia="微软雅黑"/>
          <w:i/>
        </w:rPr>
        <w:t>，自动在前端展示。 3. 若无合作记录且当前评分准确：维持 2.8★，离 3★ 差 0.2★，后续任一维度补充即可达标。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6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1633</Words>
  <Characters>1737</Characters>
  <Lines>0</Lines>
  <Paragraphs>0</Paragraphs>
  <TotalTime>0</TotalTime>
  <ScaleCrop>false</ScaleCrop>
  <LinksUpToDate>false</LinksUpToDate>
  <CharactersWithSpaces>1997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zr</cp:lastModifiedBy>
  <dcterms:modified xsi:type="dcterms:W3CDTF">2026-08-05T08:03:37Z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eyJoZGlkIjoiZDg5MDYxM2Y2NTczNmNhZGIzNWY3NmQ2OGU2ZTRjN2MiLCJ1c2VySWQiOiIzMzQyNDY5NjAifQ==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14237B6EBA6649338350FAB683689F96_12</vt:lpwstr>
  </property>
</Properties>
</file>