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2d8b201e4ec659186a097f0a9f0f5e5207beaf"/>
    <w:p>
      <w:pPr>
        <w:pStyle w:val="Heading1"/>
      </w:pPr>
      <w:r>
        <w:t xml:space="preserve">Semana 2 (31 ago-4 sep)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cierre de U1·AE1 + inicio de U1·AE2 Tipos de prueba (caja blanca/negra).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diferenciar pruebas de caja blanca vs. caja negra.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diseñar 2 casos de prueba de caja negra (sin ver código) para el endpoint</w:t>
      </w:r>
      <w:r>
        <w:t xml:space="preserve"> </w:t>
      </w:r>
      <w:r>
        <w:rPr>
          <w:rStyle w:val="VerbatimChar"/>
        </w:rPr>
        <w:t xml:space="preserve">GET /api/talleres</w:t>
      </w:r>
      <w:r>
        <w:t xml:space="preserve"> </w:t>
      </w:r>
      <w:r>
        <w:t xml:space="preserve">del repo semilla, y 1 caso de caja blanca revisando el código real de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clasificación de pruebas por tipo + 3 casos de prueba iniciales.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