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7-5-9-oct-pruebas-de-software"/>
    <w:p>
      <w:pPr>
        <w:pStyle w:val="Heading1"/>
      </w:pPr>
      <w:r>
        <w:t xml:space="preserve">Semana 7 (5-9 oct)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· Práctica oficial 4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U2·AE2 continúa + Práctica 4</w:t>
      </w:r>
      <w:r>
        <w:t xml:space="preserve"> </w:t>
      </w:r>
      <w:r>
        <w:t xml:space="preserve">“Casos de prueba”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ampliar el catálogo de casos de prueba de unidad, ahora dirigidos a las funciones de validación que Web está construyendo (hash de contraseña, formato de boleta, correo).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coordinarse con lo que Web está construyendo en sus semanas 7-8 (CRUD) para diseñar casos de prueba que anticipen ese código, sin ejecutarlos todavía.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Práctica 4 con el catálogo de casos de prueba de unidad ampliado.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base/catalogo-casos-prueba.md</w:t>
      </w:r>
      <w:r>
        <w:t xml:space="preserve"> </w:t>
      </w:r>
      <w:r>
        <w:t xml:space="preserve">(continúa la semana 6 con 3 casos más, campos vacíos).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