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736E" w:rsidRDefault="00DB73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5"/>
        <w:tblW w:w="907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86"/>
        <w:gridCol w:w="7685"/>
      </w:tblGrid>
      <w:tr w:rsidR="00DB736E">
        <w:tc>
          <w:tcPr>
            <w:tcW w:w="1386" w:type="dxa"/>
          </w:tcPr>
          <w:p w:rsidR="00DB736E" w:rsidRDefault="00DE0DAF">
            <w:pPr>
              <w:rPr>
                <w:rFonts w:ascii="Times" w:eastAsia="Times" w:hAnsi="Times" w:cs="Times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-24764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3" name="image3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 descr="Gerb-BMSTU_01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</w:tcPr>
          <w:p w:rsidR="00DB736E" w:rsidRDefault="00DE0DAF">
            <w:pPr>
              <w:spacing w:after="0" w:line="240" w:lineRule="auto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Министерство науки и высшего образования Российской Федерации</w:t>
            </w:r>
          </w:p>
          <w:p w:rsidR="00DB736E" w:rsidRDefault="00DE0DAF">
            <w:pPr>
              <w:spacing w:after="0" w:line="240" w:lineRule="auto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DB736E" w:rsidRDefault="00DE0DAF">
            <w:pPr>
              <w:spacing w:after="0" w:line="240" w:lineRule="auto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высшего образования</w:t>
            </w:r>
          </w:p>
          <w:p w:rsidR="00DB736E" w:rsidRDefault="00DE0DAF">
            <w:pPr>
              <w:spacing w:after="0" w:line="240" w:lineRule="auto"/>
              <w:ind w:right="-2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«Московский государственный технический университет</w:t>
            </w:r>
          </w:p>
          <w:p w:rsidR="00DB736E" w:rsidRDefault="00DE0DAF">
            <w:pPr>
              <w:spacing w:after="0" w:line="240" w:lineRule="auto"/>
              <w:ind w:right="-2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имени Н.Э. Баумана</w:t>
            </w:r>
          </w:p>
          <w:p w:rsidR="00DB736E" w:rsidRDefault="00DE0DAF">
            <w:pPr>
              <w:spacing w:after="0" w:line="240" w:lineRule="auto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(национальный исследовательский университет)»</w:t>
            </w:r>
          </w:p>
          <w:p w:rsidR="00DB736E" w:rsidRDefault="00DE0DAF">
            <w:pPr>
              <w:spacing w:after="0" w:line="240" w:lineRule="auto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(МГТУ им. Н.Э. Баумана)</w:t>
            </w:r>
          </w:p>
        </w:tc>
      </w:tr>
    </w:tbl>
    <w:p w:rsidR="00DB736E" w:rsidRDefault="00DB736E">
      <w:pPr>
        <w:pBdr>
          <w:bottom w:val="single" w:sz="24" w:space="1" w:color="000000"/>
        </w:pBdr>
        <w:rPr>
          <w:rFonts w:ascii="Times" w:eastAsia="Times" w:hAnsi="Times" w:cs="Times"/>
          <w:b/>
          <w:sz w:val="10"/>
          <w:szCs w:val="10"/>
        </w:rPr>
      </w:pPr>
    </w:p>
    <w:p w:rsidR="00DB736E" w:rsidRDefault="00DE0DAF">
      <w:pPr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ФАКУЛЬТЕТ _______________</w:t>
      </w:r>
      <w:r>
        <w:rPr>
          <w:rFonts w:ascii="Times" w:eastAsia="Times" w:hAnsi="Times" w:cs="Times"/>
          <w:u w:val="single"/>
        </w:rPr>
        <w:t>«Информатика и системы управления»</w:t>
      </w:r>
      <w:r>
        <w:rPr>
          <w:rFonts w:ascii="Times" w:eastAsia="Times" w:hAnsi="Times" w:cs="Times"/>
        </w:rPr>
        <w:t xml:space="preserve">________________________ </w:t>
      </w:r>
    </w:p>
    <w:p w:rsidR="00DB736E" w:rsidRDefault="00DE0DAF">
      <w:pPr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КАФЕДРА ______</w:t>
      </w:r>
      <w:r>
        <w:rPr>
          <w:rFonts w:ascii="Times" w:eastAsia="Times" w:hAnsi="Times" w:cs="Times"/>
          <w:u w:val="single"/>
        </w:rPr>
        <w:t xml:space="preserve"> «Программное обеспечение ЭВМ и информационные технологии»</w:t>
      </w:r>
      <w:r>
        <w:rPr>
          <w:rFonts w:ascii="Times" w:eastAsia="Times" w:hAnsi="Times" w:cs="Times"/>
        </w:rPr>
        <w:t>___________</w:t>
      </w:r>
    </w:p>
    <w:p w:rsidR="00DB736E" w:rsidRDefault="00DB736E">
      <w:pPr>
        <w:rPr>
          <w:rFonts w:ascii="Times" w:eastAsia="Times" w:hAnsi="Times" w:cs="Times"/>
          <w:i/>
          <w:sz w:val="32"/>
          <w:szCs w:val="32"/>
        </w:rPr>
      </w:pPr>
    </w:p>
    <w:p w:rsidR="00DB736E" w:rsidRDefault="00DB736E">
      <w:pPr>
        <w:rPr>
          <w:rFonts w:ascii="Times" w:eastAsia="Times" w:hAnsi="Times" w:cs="Times"/>
          <w:i/>
          <w:sz w:val="32"/>
          <w:szCs w:val="32"/>
        </w:rPr>
      </w:pPr>
    </w:p>
    <w:p w:rsidR="00DB736E" w:rsidRDefault="00DB736E">
      <w:pPr>
        <w:rPr>
          <w:rFonts w:ascii="Times" w:eastAsia="Times" w:hAnsi="Times" w:cs="Times"/>
          <w:sz w:val="32"/>
          <w:szCs w:val="32"/>
        </w:rPr>
      </w:pPr>
    </w:p>
    <w:p w:rsidR="00DB736E" w:rsidRDefault="00DB736E">
      <w:pPr>
        <w:rPr>
          <w:rFonts w:ascii="Times" w:eastAsia="Times" w:hAnsi="Times" w:cs="Times"/>
          <w:sz w:val="32"/>
          <w:szCs w:val="32"/>
        </w:rPr>
      </w:pPr>
    </w:p>
    <w:p w:rsidR="00DB736E" w:rsidRDefault="00DE0DAF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Отчет по лабораторной работе № 7</w:t>
      </w:r>
    </w:p>
    <w:tbl>
      <w:tblPr>
        <w:tblStyle w:val="a6"/>
        <w:tblW w:w="95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180"/>
        <w:gridCol w:w="391"/>
      </w:tblGrid>
      <w:tr w:rsidR="00DB736E">
        <w:trPr>
          <w:trHeight w:val="4474"/>
        </w:trPr>
        <w:tc>
          <w:tcPr>
            <w:tcW w:w="9180" w:type="dxa"/>
          </w:tcPr>
          <w:p w:rsidR="00DB736E" w:rsidRDefault="00DE0DAF">
            <w:pPr>
              <w:jc w:val="center"/>
              <w:rPr>
                <w:rFonts w:ascii="Times" w:eastAsia="Times" w:hAnsi="Times" w:cs="Times"/>
                <w:sz w:val="28"/>
                <w:szCs w:val="28"/>
                <w:u w:val="single"/>
              </w:rPr>
            </w:pPr>
            <w:r>
              <w:rPr>
                <w:rFonts w:ascii="Times" w:eastAsia="Times" w:hAnsi="Times" w:cs="Times"/>
                <w:b/>
                <w:sz w:val="28"/>
                <w:szCs w:val="28"/>
              </w:rPr>
              <w:t>По курсу: «</w:t>
            </w:r>
            <w:r>
              <w:rPr>
                <w:rFonts w:ascii="Times" w:eastAsia="Times" w:hAnsi="Times" w:cs="Times"/>
                <w:sz w:val="28"/>
                <w:szCs w:val="28"/>
                <w:u w:val="single"/>
              </w:rPr>
              <w:t>Экономика программной инженерии»</w:t>
            </w:r>
          </w:p>
          <w:p w:rsidR="00DB736E" w:rsidRDefault="00DB736E">
            <w:pPr>
              <w:rPr>
                <w:rFonts w:ascii="Times" w:eastAsia="Times" w:hAnsi="Times" w:cs="Times"/>
                <w:sz w:val="28"/>
                <w:szCs w:val="28"/>
              </w:rPr>
            </w:pPr>
          </w:p>
          <w:p w:rsidR="00DB736E" w:rsidRDefault="00DB736E">
            <w:pPr>
              <w:rPr>
                <w:rFonts w:ascii="Times" w:eastAsia="Times" w:hAnsi="Times" w:cs="Times"/>
                <w:sz w:val="28"/>
                <w:szCs w:val="28"/>
              </w:rPr>
            </w:pPr>
          </w:p>
          <w:p w:rsidR="00DB736E" w:rsidRDefault="00DE0D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0" w:line="240" w:lineRule="auto"/>
              <w:rPr>
                <w:rFonts w:ascii="Liberation Serif" w:eastAsia="Liberation Serif" w:hAnsi="Liberation Serif" w:cs="Liberation Serif"/>
                <w:color w:val="000000"/>
                <w:sz w:val="32"/>
                <w:szCs w:val="32"/>
              </w:rPr>
            </w:pPr>
            <w:r>
              <w:rPr>
                <w:rFonts w:ascii="Times" w:eastAsia="Times" w:hAnsi="Times" w:cs="Times"/>
                <w:b/>
                <w:color w:val="000000"/>
                <w:sz w:val="28"/>
                <w:szCs w:val="28"/>
              </w:rPr>
              <w:t xml:space="preserve">Тема </w:t>
            </w:r>
            <w:r>
              <w:rPr>
                <w:rFonts w:ascii="Times" w:eastAsia="Times" w:hAnsi="Times" w:cs="Times"/>
                <w:color w:val="000000"/>
                <w:sz w:val="28"/>
                <w:szCs w:val="28"/>
                <w:u w:val="single"/>
              </w:rPr>
              <w:t xml:space="preserve"> «Предварительная оценка параметров программного проекта»</w:t>
            </w:r>
          </w:p>
          <w:p w:rsidR="00DB736E" w:rsidRDefault="00DB736E">
            <w:pPr>
              <w:rPr>
                <w:rFonts w:ascii="Times" w:eastAsia="Times" w:hAnsi="Times" w:cs="Times"/>
                <w:b/>
                <w:sz w:val="32"/>
                <w:szCs w:val="32"/>
              </w:rPr>
            </w:pPr>
          </w:p>
          <w:p w:rsidR="00DB736E" w:rsidRDefault="00DE0DAF">
            <w:pPr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b/>
                <w:sz w:val="28"/>
                <w:szCs w:val="28"/>
              </w:rPr>
              <w:t xml:space="preserve">Студент </w:t>
            </w:r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r>
              <w:rPr>
                <w:rFonts w:ascii="Times" w:eastAsia="Times" w:hAnsi="Times" w:cs="Times"/>
                <w:sz w:val="28"/>
                <w:szCs w:val="28"/>
                <w:u w:val="single"/>
              </w:rPr>
              <w:t>Шингаров И. Д.</w:t>
            </w:r>
          </w:p>
          <w:p w:rsidR="00DB736E" w:rsidRDefault="00DB736E">
            <w:pPr>
              <w:rPr>
                <w:rFonts w:ascii="Times" w:eastAsia="Times" w:hAnsi="Times" w:cs="Times"/>
                <w:b/>
                <w:sz w:val="28"/>
                <w:szCs w:val="28"/>
              </w:rPr>
            </w:pPr>
          </w:p>
          <w:p w:rsidR="00DB736E" w:rsidRDefault="00DE0DAF">
            <w:pPr>
              <w:rPr>
                <w:rFonts w:ascii="Times" w:eastAsia="Times" w:hAnsi="Times" w:cs="Times"/>
                <w:sz w:val="28"/>
                <w:szCs w:val="28"/>
                <w:u w:val="single"/>
              </w:rPr>
            </w:pPr>
            <w:r>
              <w:rPr>
                <w:rFonts w:ascii="Times" w:eastAsia="Times" w:hAnsi="Times" w:cs="Times"/>
                <w:b/>
                <w:sz w:val="28"/>
                <w:szCs w:val="28"/>
              </w:rPr>
              <w:t xml:space="preserve">Студент </w:t>
            </w:r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r>
              <w:rPr>
                <w:rFonts w:ascii="Times" w:eastAsia="Times" w:hAnsi="Times" w:cs="Times"/>
                <w:sz w:val="28"/>
                <w:szCs w:val="28"/>
                <w:u w:val="single"/>
              </w:rPr>
              <w:t>Блохин Д. М.</w:t>
            </w:r>
          </w:p>
          <w:p w:rsidR="00DB736E" w:rsidRDefault="00DB736E">
            <w:pPr>
              <w:rPr>
                <w:rFonts w:ascii="Times" w:eastAsia="Times" w:hAnsi="Times" w:cs="Times"/>
                <w:sz w:val="28"/>
                <w:szCs w:val="28"/>
                <w:u w:val="single"/>
              </w:rPr>
            </w:pPr>
          </w:p>
          <w:p w:rsidR="00DB736E" w:rsidRDefault="00DE0DAF">
            <w:pPr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r>
              <w:rPr>
                <w:rFonts w:ascii="Times" w:eastAsia="Times" w:hAnsi="Times" w:cs="Times"/>
                <w:sz w:val="28"/>
                <w:szCs w:val="28"/>
                <w:u w:val="single"/>
              </w:rPr>
              <w:t>Барышникова М.Ю.</w:t>
            </w:r>
          </w:p>
          <w:p w:rsidR="00DB736E" w:rsidRDefault="00DB736E">
            <w:pPr>
              <w:rPr>
                <w:rFonts w:ascii="Times" w:eastAsia="Times" w:hAnsi="Times" w:cs="Times"/>
                <w:b/>
                <w:sz w:val="28"/>
                <w:szCs w:val="28"/>
              </w:rPr>
            </w:pPr>
          </w:p>
          <w:p w:rsidR="00DB736E" w:rsidRDefault="00DE0DAF">
            <w:pPr>
              <w:rPr>
                <w:rFonts w:ascii="Times" w:eastAsia="Times" w:hAnsi="Times" w:cs="Times"/>
                <w:sz w:val="28"/>
                <w:szCs w:val="28"/>
                <w:u w:val="single"/>
              </w:rPr>
            </w:pPr>
            <w:r>
              <w:rPr>
                <w:rFonts w:ascii="Times" w:eastAsia="Times" w:hAnsi="Times" w:cs="Times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r>
              <w:rPr>
                <w:rFonts w:ascii="Times" w:eastAsia="Times" w:hAnsi="Times" w:cs="Times"/>
                <w:sz w:val="28"/>
                <w:szCs w:val="28"/>
                <w:u w:val="single"/>
              </w:rPr>
              <w:t xml:space="preserve"> Силантьева А.В.</w:t>
            </w:r>
          </w:p>
          <w:p w:rsidR="00DB736E" w:rsidRDefault="00DB736E">
            <w:pPr>
              <w:rPr>
                <w:rFonts w:ascii="Times" w:eastAsia="Times" w:hAnsi="Times" w:cs="Times"/>
                <w:sz w:val="28"/>
                <w:szCs w:val="28"/>
                <w:u w:val="single"/>
              </w:rPr>
            </w:pPr>
          </w:p>
          <w:p w:rsidR="00DB736E" w:rsidRDefault="00DB736E">
            <w:pPr>
              <w:rPr>
                <w:rFonts w:ascii="Times" w:eastAsia="Times" w:hAnsi="Times" w:cs="Times"/>
                <w:sz w:val="28"/>
                <w:szCs w:val="28"/>
                <w:u w:val="single"/>
              </w:rPr>
            </w:pPr>
          </w:p>
          <w:p w:rsidR="00DB736E" w:rsidRDefault="00DB736E">
            <w:pPr>
              <w:rPr>
                <w:rFonts w:ascii="Times" w:eastAsia="Times" w:hAnsi="Times" w:cs="Times"/>
                <w:sz w:val="28"/>
                <w:szCs w:val="28"/>
              </w:rPr>
            </w:pPr>
          </w:p>
          <w:p w:rsidR="00DB736E" w:rsidRDefault="00DE0DAF">
            <w:pPr>
              <w:jc w:val="center"/>
              <w:rPr>
                <w:rFonts w:ascii="Times" w:eastAsia="Times" w:hAnsi="Times" w:cs="Times"/>
                <w:b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Москва, 2023 г.</w:t>
            </w:r>
            <w:r>
              <w:rPr>
                <w:rFonts w:ascii="Times" w:eastAsia="Times" w:hAnsi="Times" w:cs="Times"/>
                <w:b/>
                <w:sz w:val="28"/>
                <w:szCs w:val="28"/>
              </w:rPr>
              <w:t xml:space="preserve"> </w:t>
            </w:r>
          </w:p>
          <w:p w:rsidR="00FE4205" w:rsidRDefault="00FE4205">
            <w:pPr>
              <w:jc w:val="center"/>
              <w:rPr>
                <w:rFonts w:ascii="Times" w:eastAsia="Times" w:hAnsi="Times" w:cs="Times"/>
                <w:b/>
                <w:sz w:val="28"/>
                <w:szCs w:val="28"/>
              </w:rPr>
            </w:pPr>
            <w:bookmarkStart w:id="0" w:name="_GoBack"/>
            <w:bookmarkEnd w:id="0"/>
          </w:p>
        </w:tc>
        <w:tc>
          <w:tcPr>
            <w:tcW w:w="391" w:type="dxa"/>
          </w:tcPr>
          <w:p w:rsidR="00DB736E" w:rsidRDefault="00DB736E">
            <w:pPr>
              <w:jc w:val="center"/>
              <w:rPr>
                <w:rFonts w:ascii="Times" w:eastAsia="Times" w:hAnsi="Times" w:cs="Times"/>
                <w:b/>
                <w:sz w:val="28"/>
                <w:szCs w:val="28"/>
              </w:rPr>
            </w:pPr>
          </w:p>
          <w:p w:rsidR="00DB736E" w:rsidRDefault="00DB736E">
            <w:pPr>
              <w:jc w:val="center"/>
              <w:rPr>
                <w:rFonts w:ascii="Times" w:eastAsia="Times" w:hAnsi="Times" w:cs="Times"/>
                <w:b/>
                <w:sz w:val="28"/>
                <w:szCs w:val="28"/>
              </w:rPr>
            </w:pPr>
          </w:p>
          <w:p w:rsidR="00DB736E" w:rsidRDefault="00DB736E">
            <w:pPr>
              <w:jc w:val="center"/>
              <w:rPr>
                <w:rFonts w:ascii="Times" w:eastAsia="Times" w:hAnsi="Times" w:cs="Times"/>
                <w:b/>
                <w:sz w:val="28"/>
                <w:szCs w:val="28"/>
              </w:rPr>
            </w:pPr>
          </w:p>
          <w:p w:rsidR="00DB736E" w:rsidRDefault="00DB736E">
            <w:pPr>
              <w:jc w:val="center"/>
              <w:rPr>
                <w:rFonts w:ascii="Times" w:eastAsia="Times" w:hAnsi="Times" w:cs="Times"/>
                <w:b/>
                <w:sz w:val="28"/>
                <w:szCs w:val="28"/>
              </w:rPr>
            </w:pPr>
          </w:p>
        </w:tc>
      </w:tr>
    </w:tbl>
    <w:p w:rsidR="00DB736E" w:rsidRDefault="00DE0DA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знакомства с существующими методиками предварительной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оценки параметров программного проекта и практическая оценка затрат по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модели COCOMO II.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Метод функциональных точек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этом методе рассматривается не разм</w:t>
      </w:r>
      <w:r>
        <w:rPr>
          <w:rFonts w:ascii="Times New Roman" w:eastAsia="Times New Roman" w:hAnsi="Times New Roman" w:cs="Times New Roman"/>
          <w:sz w:val="28"/>
          <w:szCs w:val="28"/>
        </w:rPr>
        <w:t>ер, а функциональность или полезность продукта, в качестве количественной характеристики применяется понятие количества функциональных точек.</w:t>
      </w:r>
    </w:p>
    <w:p w:rsidR="00DB736E" w:rsidRDefault="00DE0DAF">
      <w:pPr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Количество функциональных точек </w:t>
      </w:r>
      <w:r>
        <w:rPr>
          <w:rFonts w:ascii="Times New Roman" w:eastAsia="Times New Roman" w:hAnsi="Times New Roman" w:cs="Times New Roman"/>
          <w:sz w:val="28"/>
          <w:szCs w:val="28"/>
        </w:rPr>
        <w:t>– количественная характеристика, обозначается как FP (function points).</w:t>
      </w:r>
    </w:p>
    <w:p w:rsidR="00DB736E" w:rsidRDefault="00DE0DAF">
      <w:pPr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Функциональная точка </w:t>
      </w:r>
      <w:r>
        <w:rPr>
          <w:rFonts w:ascii="Times New Roman" w:eastAsia="Times New Roman" w:hAnsi="Times New Roman" w:cs="Times New Roman"/>
          <w:sz w:val="28"/>
          <w:szCs w:val="28"/>
        </w:rPr>
        <w:t>— единица измерения функциональности ПО. Функциональность программы связана с обработкой информации по запросу пользователя и не зависит от применяемых технических решений.</w:t>
      </w:r>
    </w:p>
    <w:p w:rsidR="00DB736E" w:rsidRDefault="00DE0DAF">
      <w:pPr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Пользователи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отправители и целевые получатели данных (люди, </w:t>
      </w:r>
      <w:r>
        <w:rPr>
          <w:rFonts w:ascii="Times New Roman" w:eastAsia="Times New Roman" w:hAnsi="Times New Roman" w:cs="Times New Roman"/>
          <w:sz w:val="28"/>
          <w:szCs w:val="28"/>
        </w:rPr>
        <w:t>смежные интегрированные информационные системы).</w:t>
      </w:r>
    </w:p>
    <w:p w:rsidR="00DB736E" w:rsidRDefault="00DE0DAF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трудозатрат может быть выполнена на ранних стадиях работы над проектом, поскольку в основе лежит изучение требований.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Функциональность системы определяется:</w:t>
      </w:r>
    </w:p>
    <w:p w:rsidR="00DB736E" w:rsidRDefault="00DE0DAF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Функциональными типами.</w:t>
      </w:r>
    </w:p>
    <w:p w:rsidR="00DB736E" w:rsidRDefault="00DE0DAF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Элементарными проце</w:t>
      </w:r>
      <w:r>
        <w:rPr>
          <w:rFonts w:ascii="Times New Roman" w:eastAsia="Times New Roman" w:hAnsi="Times New Roman" w:cs="Times New Roman"/>
          <w:sz w:val="28"/>
          <w:szCs w:val="28"/>
        </w:rPr>
        <w:t>ссами.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FTR – количество связанных с каждым функциональным типом файлов типа ссылок.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DET – количество связанных с каждым функциональным типом элементарных данных.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RET – количество типов элементов записей.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Типы элементарных процессов, используемых в методе ф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ункциональных точек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B736E" w:rsidRDefault="00DE0DAF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внешний ввод (EI) — элементарный процесс, перемещающий данные из внешней среды в приложение;</w:t>
      </w:r>
    </w:p>
    <w:p w:rsidR="00DB736E" w:rsidRDefault="00DE0DAF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внешний вывод (ЕО) — элементарный процесс, перемещающий данные, вычисленные в приложении, во внешнюю среду;</w:t>
      </w:r>
    </w:p>
    <w:p w:rsidR="00DB736E" w:rsidRDefault="00DE0DAF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внешний запрос (EQ) — элементарный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процесс, состоящий из комбинации «запрос/ответ», не связанный с вычислением производных данных;</w:t>
      </w:r>
    </w:p>
    <w:p w:rsidR="00DB736E" w:rsidRDefault="00DE0DAF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внутренний логический файл (ILF) — выделяемые пользователем логически связанные группы данных, которые поддерживаются внутри продукта и обслуживается через вне</w:t>
      </w:r>
      <w:r>
        <w:rPr>
          <w:rFonts w:ascii="Times New Roman" w:eastAsia="Times New Roman" w:hAnsi="Times New Roman" w:cs="Times New Roman"/>
          <w:sz w:val="28"/>
          <w:szCs w:val="28"/>
        </w:rPr>
        <w:t>шние вводы;</w:t>
      </w:r>
    </w:p>
    <w:p w:rsidR="00DB736E" w:rsidRDefault="00DE0DAF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внешний интерфейсный файл (EIF) — выделяемые пользователем логически связанные группы данных или блоки управляющей информации, на которые ссылается продукт, но которые поддерживаются вне продукта.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Постановка задачи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Компания получила заказ на </w:t>
      </w:r>
      <w:r>
        <w:rPr>
          <w:rFonts w:ascii="Times New Roman" w:eastAsia="Times New Roman" w:hAnsi="Times New Roman" w:cs="Times New Roman"/>
          <w:sz w:val="28"/>
          <w:szCs w:val="28"/>
        </w:rPr>
        <w:t>разработку клиентского мобильного приложения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брокерской системы. Программа позволяет просматривать актуальную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биржевую информацию, производить сделки и отслеживать их выполнение.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имеет 4 страницы: авторизация, биржевые сводки, заявки, новая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заявка.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Характеристики команды, продукта и проекта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Разработанное ПО состоит из трех компонентов. Первый компонент составляет по объему примерно 15% программного кода и будет написан на SQL, второй (около 60% кода) - на С#, а третий в объеме 25% кода - на J</w:t>
      </w:r>
      <w:r>
        <w:rPr>
          <w:rFonts w:ascii="Times New Roman" w:eastAsia="Times New Roman" w:hAnsi="Times New Roman" w:cs="Times New Roman"/>
          <w:sz w:val="28"/>
          <w:szCs w:val="28"/>
        </w:rPr>
        <w:t>ava.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Характеристики продукта в условных единицах:</w:t>
      </w:r>
    </w:p>
    <w:p w:rsidR="00DB736E" w:rsidRDefault="00DE0DAF">
      <w:pPr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Обмен данными - 5</w:t>
      </w:r>
    </w:p>
    <w:p w:rsidR="00DB736E" w:rsidRDefault="00DE0DAF">
      <w:pPr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Распределенная обработка -5</w:t>
      </w:r>
    </w:p>
    <w:p w:rsidR="00DB736E" w:rsidRDefault="00DE0DAF">
      <w:pPr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Производительность -3</w:t>
      </w:r>
    </w:p>
    <w:p w:rsidR="00DB736E" w:rsidRDefault="00DE0DAF">
      <w:pPr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Эксплуатационные ограничения по аппаратным ресурсам – 2</w:t>
      </w:r>
    </w:p>
    <w:p w:rsidR="00DB736E" w:rsidRDefault="00DE0DAF">
      <w:pPr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Транзакционная нагрузка – 3</w:t>
      </w:r>
    </w:p>
    <w:p w:rsidR="00DB736E" w:rsidRDefault="00DE0DAF">
      <w:pPr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Интенсивность взаимодействия с пользователем (оперативный ввод данных) – 4</w:t>
      </w:r>
    </w:p>
    <w:p w:rsidR="00DB736E" w:rsidRDefault="00DE0DAF">
      <w:pPr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Эргономические характеристики, влияющие на эффективность работы конечных пользователей – 1</w:t>
      </w:r>
    </w:p>
    <w:p w:rsidR="00DB736E" w:rsidRDefault="00DE0DAF">
      <w:pPr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Оперативное обновление – 4</w:t>
      </w:r>
    </w:p>
    <w:p w:rsidR="00DB736E" w:rsidRDefault="00DE0DAF">
      <w:pPr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Сложность обработки – 4</w:t>
      </w:r>
    </w:p>
    <w:p w:rsidR="00DB736E" w:rsidRDefault="00DE0DAF">
      <w:pPr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Повторное использование – 0</w:t>
      </w:r>
    </w:p>
    <w:p w:rsidR="00DB736E" w:rsidRDefault="00DE0DAF">
      <w:pPr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Легкость ин</w:t>
      </w:r>
      <w:r>
        <w:rPr>
          <w:rFonts w:ascii="Times New Roman" w:eastAsia="Times New Roman" w:hAnsi="Times New Roman" w:cs="Times New Roman"/>
          <w:sz w:val="28"/>
          <w:szCs w:val="28"/>
        </w:rPr>
        <w:t>сталляции – 1</w:t>
      </w:r>
    </w:p>
    <w:p w:rsidR="00DB736E" w:rsidRDefault="00DE0DAF">
      <w:pPr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Легкость эксплуатации/администрирования – 2</w:t>
      </w:r>
    </w:p>
    <w:p w:rsidR="00DB736E" w:rsidRDefault="00DE0DAF">
      <w:pPr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Портируемость – 2</w:t>
      </w:r>
    </w:p>
    <w:p w:rsidR="00DB736E" w:rsidRDefault="00DE0DAF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Гибкость – 2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проекта была сформирована новая команда разработчиков, у отдельных членов которой имеется некоторый опыт создания систем подобного типа. В целях сплочен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ия команды были проведены определенные мероприятия,что обеспечило на старте проекта приемлемую коммуникацию внутри коллектива. Заказчик не настаивает на жесткой регламентации процесса, однако график реализации проекта довольно жесткий. Несмотря на то, что </w:t>
      </w:r>
      <w:r>
        <w:rPr>
          <w:rFonts w:ascii="Times New Roman" w:eastAsia="Times New Roman" w:hAnsi="Times New Roman" w:cs="Times New Roman"/>
          <w:sz w:val="28"/>
          <w:szCs w:val="28"/>
        </w:rPr>
        <w:t>предметная область является для разработчиков относительно новой, анализу архитектурных рисков было уделено лишь некоторое внимание. Организация только начинает внедрять методы управления проектами и формальные методы оценки качества процесса разработки.</w:t>
      </w:r>
    </w:p>
    <w:p w:rsidR="00DB736E" w:rsidRDefault="00DE0DAF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>адежность и уровень сложности (RCPX) разрабатываемой системы оцениваются как очень высокие.</w:t>
      </w:r>
    </w:p>
    <w:p w:rsidR="00DB736E" w:rsidRDefault="00DE0DAF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Повторное использования компонентов не предусматривается (RUSE).</w:t>
      </w:r>
    </w:p>
    <w:p w:rsidR="00DB736E" w:rsidRDefault="00DE0DAF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Возможности персонала (PERS) – средние.</w:t>
      </w:r>
    </w:p>
    <w:p w:rsidR="00DB736E" w:rsidRDefault="00DE0DAF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Опыт работы в разработке систем подобного типа (PREX) низки</w:t>
      </w:r>
      <w:r>
        <w:rPr>
          <w:rFonts w:ascii="Times New Roman" w:eastAsia="Times New Roman" w:hAnsi="Times New Roman" w:cs="Times New Roman"/>
          <w:sz w:val="28"/>
          <w:szCs w:val="28"/>
        </w:rPr>
        <w:t>й.</w:t>
      </w:r>
    </w:p>
    <w:p w:rsidR="00DB736E" w:rsidRDefault="00DE0DAF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Сложность платформы (PDIF) высокая.</w:t>
      </w:r>
    </w:p>
    <w:p w:rsidR="00DB736E" w:rsidRDefault="00DE0DAF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предусматривает очень интенсивное использование</w:t>
      </w:r>
    </w:p>
    <w:p w:rsidR="00DB736E" w:rsidRDefault="00DE0DAF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инструментальных средств поддержки (FCIL).</w:t>
      </w:r>
    </w:p>
    <w:p w:rsidR="00DB736E" w:rsidRDefault="00DE0DAF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Заказчик настаивает на жестком графике (SCED).</w:t>
      </w:r>
    </w:p>
    <w:p w:rsidR="00DB736E" w:rsidRDefault="00DB73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Авторизация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данной странице осуществляется ввод логина и пароля пользователя для входа в систему. Страница содержит два поля ввода и одну командную кнопку, а также флажок-переключатель, который активируется при необходимости запоминания параметров авторизации.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1009650</wp:posOffset>
            </wp:positionV>
            <wp:extent cx="2533192" cy="5048290"/>
            <wp:effectExtent l="0" t="0" r="0" b="0"/>
            <wp:wrapSquare wrapText="bothSides" distT="114300" distB="114300" distL="114300" distR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192" cy="5048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EIF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в базе данных (логин, пароль)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RET = 1 (логин, пароль – строка)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DET = 2 (логин, пароль)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ILF: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 локального хранилища (сохраненные данные)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RET = 1 (логин, пароль – строка)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DET = 2 (логин, пароль)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EI:  </w:t>
      </w:r>
      <w:r>
        <w:rPr>
          <w:rFonts w:ascii="Times New Roman" w:eastAsia="Times New Roman" w:hAnsi="Times New Roman" w:cs="Times New Roman"/>
          <w:sz w:val="28"/>
          <w:szCs w:val="28"/>
        </w:rPr>
        <w:t>Ввод данных, запись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FTR = 2 (2 файла); DET = 4 (логин, пароль, флаг, кнопка)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EO: </w:t>
      </w:r>
      <w:r>
        <w:rPr>
          <w:rFonts w:ascii="Times New Roman" w:eastAsia="Times New Roman" w:hAnsi="Times New Roman" w:cs="Times New Roman"/>
          <w:sz w:val="28"/>
          <w:szCs w:val="28"/>
        </w:rPr>
        <w:t>Сообщение о некорректных данных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FTR = 1; DET = 4</w:t>
      </w:r>
      <w:r>
        <w:br w:type="page"/>
      </w: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Биржевые сводки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Биржевые сводки отражают текущую ситуацию на бирже. Страница содержит таблицу, кнопку «Добавить» и диалоговое окно с одним полем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ввода и двумя командными кнопками. 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содержит три колонки: Ценная бумага (имя бумаги), Цена (цена за одну ценную бумагу), Изменение (изменение цены бумаги со времени последнего закрытия биржи). Кнопка «Добавить» вызывает диалоговое окно для доба</w:t>
      </w:r>
      <w:r>
        <w:rPr>
          <w:rFonts w:ascii="Times New Roman" w:eastAsia="Times New Roman" w:hAnsi="Times New Roman" w:cs="Times New Roman"/>
          <w:sz w:val="28"/>
          <w:szCs w:val="28"/>
        </w:rPr>
        <w:t>вления новой бумаги (окно состоит из поля ввода и кнопок ОК, Cancel).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338733</wp:posOffset>
            </wp:positionV>
            <wp:extent cx="2975104" cy="5323522"/>
            <wp:effectExtent l="0" t="0" r="0" b="0"/>
            <wp:wrapSquare wrapText="bothSides" distT="114300" distB="114300" distL="114300" distR="11430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5104" cy="5323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ILF: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Кэшированные данные таблицы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RET = 2 (строка, вещественное число с фиксированной запятой)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DET = 3 (бумага, цена изменение)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EIF: </w:t>
      </w:r>
      <w:r>
        <w:rPr>
          <w:rFonts w:ascii="Times New Roman" w:eastAsia="Times New Roman" w:hAnsi="Times New Roman" w:cs="Times New Roman"/>
          <w:sz w:val="28"/>
          <w:szCs w:val="28"/>
        </w:rPr>
        <w:t>Таблица бумаг в БД биржи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RET = 2 (строка, вещественн</w:t>
      </w:r>
      <w:r>
        <w:rPr>
          <w:rFonts w:ascii="Times New Roman" w:eastAsia="Times New Roman" w:hAnsi="Times New Roman" w:cs="Times New Roman"/>
          <w:sz w:val="28"/>
          <w:szCs w:val="28"/>
        </w:rPr>
        <w:t>ый)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DET = 2 (бумага, цена)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EI: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Добавление новой бумаги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FTR = 1 Обновление списка интересующих бумаг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DET = 4 (“Добавить”, название, “Ok”, “Cancel”)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EO: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Вывод цен и изменений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FTR = 2 (Изменение локальной таблицы и обращение к бирже)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DET = 3 (бумага, цена, изменение)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EQ: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Внешний запрос к бирже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FTR = 1; DET = 4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Заявки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Заявки содержат таблицу, отображающую текущие (еще не выполненные) заявки на покупку или продажу ценных бумаг.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содержит четыре поля: Тип (покупка/продажа), Имя 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умаги, Цена по которой готовы покупаться/продаваться бумаги, Количество бумаг для покупки/продажи. 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любую строку таблицы появляется контекстное меню с возможностью удалить или изменить заявку.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-333374</wp:posOffset>
            </wp:positionH>
            <wp:positionV relativeFrom="paragraph">
              <wp:posOffset>558800</wp:posOffset>
            </wp:positionV>
            <wp:extent cx="3199765" cy="5783483"/>
            <wp:effectExtent l="0" t="0" r="0" b="0"/>
            <wp:wrapSquare wrapText="bothSides" distT="114300" distB="114300" distL="114300" distR="11430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5783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B736E" w:rsidRDefault="00DB736E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ILF: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Список открытых заявок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RET = 4 (символьный, строковый, вещественный и целый)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DET = 4 (тип, имя, кол-во, цена)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EIF: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Таблица заявок на бирже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RET = 4 (идентификаторы бумаги и покупателя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строка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целое число), вещественное число, символьный тип, целое число)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DET = 5 (п</w:t>
      </w:r>
      <w:r>
        <w:rPr>
          <w:rFonts w:ascii="Times New Roman" w:eastAsia="Times New Roman" w:hAnsi="Times New Roman" w:cs="Times New Roman"/>
          <w:sz w:val="28"/>
          <w:szCs w:val="28"/>
        </w:rPr>
        <w:t>окупатель(id), бумага(id), цена, тип, кол-во)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Tаблица клиентов биржи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RET = 2 (строка)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DET = 2 (идентификатор, логин)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Таблица бумаг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RET  =  2 (строка, вещественный)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DET = 3 (идентификатор, бумага, цена)</w:t>
      </w:r>
    </w:p>
    <w:p w:rsidR="00DB736E" w:rsidRDefault="00DB73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B73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EI: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Изменить заявку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FTR = 4 (Таблица бумаг, таблица пользователей, таблица заявок, локальное хранилище)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DET = 5  (тип, имя, цена, кол-во, кнопка “Изменить”)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Удалить заявку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FTR = 2 (обращение к таблице заявок, обращение к внутреннему файлу)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DET = 1 (Кнопка “Удалить”)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EO: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RET </w:t>
      </w:r>
      <w:r>
        <w:rPr>
          <w:rFonts w:ascii="Times New Roman" w:eastAsia="Times New Roman" w:hAnsi="Times New Roman" w:cs="Times New Roman"/>
          <w:sz w:val="28"/>
          <w:szCs w:val="28"/>
        </w:rPr>
        <w:t>= 2 (Запрос к локальному файлу, запрос к таблице заявок)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DET = 4 (тип, имя, кол-во, цена)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EQ: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Запрос к бирже на получение и изменение заявок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FTR = 3  (таблица клиентов, таблица бумаг, таблица заявок)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DET  = 5 (логин, тип, имя, кол-во, цена)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Новая заявка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позволяет оформить заявку на покупку или продажу ценной бумаги. Страница состоит из 4 полей: Бумага (имя бумаги), Цена (цена по которой необходимо купить/продать бумагу), Покупка (булева переменная в значение true обозначает покупку, false – прод</w:t>
      </w:r>
      <w:r>
        <w:rPr>
          <w:rFonts w:ascii="Times New Roman" w:eastAsia="Times New Roman" w:hAnsi="Times New Roman" w:cs="Times New Roman"/>
          <w:sz w:val="28"/>
          <w:szCs w:val="28"/>
        </w:rPr>
        <w:t>ажа) и кнопки «Оформить» - для подтверждения оформления заявки.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-149224</wp:posOffset>
            </wp:positionH>
            <wp:positionV relativeFrom="paragraph">
              <wp:posOffset>215900</wp:posOffset>
            </wp:positionV>
            <wp:extent cx="2962275" cy="5449927"/>
            <wp:effectExtent l="0" t="0" r="0" b="0"/>
            <wp:wrapSquare wrapText="bothSides" distT="114300" distB="114300" distL="114300" distR="11430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449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ILF: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RET = 3 (логический, строка, целое, вещественное)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DET = 3 (тип, бумага, цена, кол-во)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EI: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Покупка/продажа бумаги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FTR = 3 (таблица бумаг, таблица клиентов, локальный файл)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DET = 5 (бум</w:t>
      </w:r>
      <w:r>
        <w:rPr>
          <w:rFonts w:ascii="Times New Roman" w:eastAsia="Times New Roman" w:hAnsi="Times New Roman" w:cs="Times New Roman"/>
          <w:sz w:val="28"/>
          <w:szCs w:val="28"/>
        </w:rPr>
        <w:t>ага, цена, кол-во, тип заявки, кнопка)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EIF: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RET = 3 (строка, вещественный, целый, логический)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DET = 5 (бумага, цена, кол-во,  тип, пользователь)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EQ: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FTR = 1 (таблица заявок)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DET=5(логин, цена, тип, кол-во, бумага)</w:t>
      </w:r>
    </w:p>
    <w:p w:rsidR="00DB736E" w:rsidRDefault="00DB736E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B736E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СВОДНАЯ ТАБЛИЦА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tbl>
      <w:tblPr>
        <w:tblStyle w:val="a7"/>
        <w:tblW w:w="907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</w:tblGrid>
      <w:tr w:rsidR="00DB736E">
        <w:trPr>
          <w:trHeight w:val="480"/>
          <w:jc w:val="center"/>
        </w:trPr>
        <w:tc>
          <w:tcPr>
            <w:tcW w:w="142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30" w:type="dxa"/>
            <w:gridSpan w:val="2"/>
          </w:tcPr>
          <w:p w:rsidR="00DB736E" w:rsidRDefault="00DB736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DB736E" w:rsidRDefault="00DE0D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ILF</w:t>
            </w:r>
          </w:p>
        </w:tc>
        <w:tc>
          <w:tcPr>
            <w:tcW w:w="15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EO</w:t>
            </w:r>
          </w:p>
        </w:tc>
        <w:tc>
          <w:tcPr>
            <w:tcW w:w="15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EQ</w:t>
            </w:r>
          </w:p>
        </w:tc>
        <w:tc>
          <w:tcPr>
            <w:tcW w:w="15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EI</w:t>
            </w:r>
          </w:p>
        </w:tc>
        <w:tc>
          <w:tcPr>
            <w:tcW w:w="1530" w:type="dxa"/>
            <w:gridSpan w:val="2"/>
          </w:tcPr>
          <w:p w:rsidR="00DB736E" w:rsidRDefault="00DB736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DB736E" w:rsidRDefault="00DE0D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EIF</w:t>
            </w:r>
          </w:p>
        </w:tc>
      </w:tr>
      <w:tr w:rsidR="00DB736E">
        <w:trPr>
          <w:trHeight w:val="480"/>
          <w:jc w:val="center"/>
        </w:trPr>
        <w:tc>
          <w:tcPr>
            <w:tcW w:w="142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RET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DET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FTR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DET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FTR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DET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FTR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DET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RET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DET</w:t>
            </w:r>
          </w:p>
        </w:tc>
      </w:tr>
      <w:tr w:rsidR="00DB736E">
        <w:trPr>
          <w:trHeight w:val="480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Авторизация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736E">
        <w:trPr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Биржевые сводки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736E">
        <w:trPr>
          <w:trHeight w:val="480"/>
          <w:jc w:val="center"/>
        </w:trPr>
        <w:tc>
          <w:tcPr>
            <w:tcW w:w="142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DB736E" w:rsidRDefault="00DE0D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Заявки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  <w:p w:rsidR="00DB736E" w:rsidRDefault="00DB736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B736E">
        <w:trPr>
          <w:trHeight w:val="291"/>
          <w:jc w:val="center"/>
        </w:trPr>
        <w:tc>
          <w:tcPr>
            <w:tcW w:w="142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736E">
        <w:trPr>
          <w:trHeight w:val="480"/>
          <w:jc w:val="center"/>
        </w:trPr>
        <w:tc>
          <w:tcPr>
            <w:tcW w:w="142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736E">
        <w:trPr>
          <w:trHeight w:val="480"/>
          <w:jc w:val="center"/>
        </w:trPr>
        <w:tc>
          <w:tcPr>
            <w:tcW w:w="142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B736E">
        <w:trPr>
          <w:trHeight w:val="480"/>
          <w:jc w:val="center"/>
        </w:trPr>
        <w:tc>
          <w:tcPr>
            <w:tcW w:w="142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Новая заявка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B736E">
        <w:trPr>
          <w:trHeight w:val="480"/>
          <w:jc w:val="center"/>
        </w:trPr>
        <w:tc>
          <w:tcPr>
            <w:tcW w:w="142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DB736E" w:rsidRDefault="00DB73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Итоговая таблица</w:t>
      </w:r>
    </w:p>
    <w:tbl>
      <w:tblPr>
        <w:tblStyle w:val="a8"/>
        <w:tblW w:w="855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425"/>
        <w:gridCol w:w="1425"/>
        <w:gridCol w:w="1425"/>
        <w:gridCol w:w="1425"/>
      </w:tblGrid>
      <w:tr w:rsidR="00DB736E">
        <w:trPr>
          <w:tblHeader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B7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ILF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EO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EQ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EI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EIF</w:t>
            </w:r>
          </w:p>
        </w:tc>
      </w:tr>
      <w:tr w:rsidR="00DB736E">
        <w:trPr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Авторизация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Н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Н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Н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Н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Н</w:t>
            </w:r>
          </w:p>
        </w:tc>
      </w:tr>
      <w:tr w:rsidR="00DB736E">
        <w:trPr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Биржевые сводки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Н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Н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Н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Н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Н</w:t>
            </w:r>
          </w:p>
        </w:tc>
      </w:tr>
      <w:tr w:rsidR="00DB736E">
        <w:trPr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Заявки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Н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Н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С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Н 1 В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3Н</w:t>
            </w:r>
          </w:p>
        </w:tc>
      </w:tr>
      <w:tr w:rsidR="00DB736E">
        <w:trPr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Новая заявка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Н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Н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 В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Н</w:t>
            </w:r>
          </w:p>
        </w:tc>
      </w:tr>
    </w:tbl>
    <w:p w:rsidR="00DB736E" w:rsidRDefault="00DB73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B736E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B736E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B736E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B73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E0D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78919" cy="3723322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8919" cy="3723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Кол-во функциональных точек: 106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Нормированное кол-во функциональных точек: 109.18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Кол-во строк кода 5131</w:t>
      </w:r>
    </w:p>
    <w:p w:rsidR="00DB736E" w:rsidRDefault="00DB73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Методика COCOMO II</w:t>
      </w:r>
    </w:p>
    <w:p w:rsidR="00DB736E" w:rsidRDefault="00DE0DA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модели оценки стоимости в COCOMO II:</w:t>
      </w:r>
    </w:p>
    <w:p w:rsidR="00DB736E" w:rsidRDefault="00DE0DAF">
      <w:pPr>
        <w:numPr>
          <w:ilvl w:val="0"/>
          <w:numId w:val="1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Модель композиции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модель, которая подходит для проектов, созданных с помощью современных  инструментальных средств. Единицей измерения служит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объектная точка </w:t>
      </w:r>
      <w:r>
        <w:rPr>
          <w:rFonts w:ascii="Times New Roman" w:eastAsia="Times New Roman" w:hAnsi="Times New Roman" w:cs="Times New Roman"/>
          <w:sz w:val="28"/>
          <w:szCs w:val="28"/>
        </w:rPr>
        <w:t>(учитывается количество экранов, отчётов и компонентов).</w:t>
      </w:r>
    </w:p>
    <w:p w:rsidR="00DB736E" w:rsidRDefault="00DE0DAF">
      <w:pPr>
        <w:numPr>
          <w:ilvl w:val="1"/>
          <w:numId w:val="1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рассматривается макетирование пользовательских интерфейсов</w:t>
      </w:r>
    </w:p>
    <w:p w:rsidR="00DB736E" w:rsidRDefault="00DE0DAF">
      <w:pPr>
        <w:numPr>
          <w:ilvl w:val="1"/>
          <w:numId w:val="1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оценивается производительность</w:t>
      </w:r>
    </w:p>
    <w:p w:rsidR="00DB736E" w:rsidRDefault="00DE0DAF">
      <w:pPr>
        <w:numPr>
          <w:ilvl w:val="1"/>
          <w:numId w:val="1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определяется степень зрелости технологии</w:t>
      </w:r>
    </w:p>
    <w:p w:rsidR="00DB736E" w:rsidRDefault="00DE0DAF">
      <w:pPr>
        <w:numPr>
          <w:ilvl w:val="0"/>
          <w:numId w:val="1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Модель ранней разработки архитектуры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модель применяется для получе</w:t>
      </w:r>
      <w:r>
        <w:rPr>
          <w:rFonts w:ascii="Times New Roman" w:eastAsia="Times New Roman" w:hAnsi="Times New Roman" w:cs="Times New Roman"/>
          <w:sz w:val="28"/>
          <w:szCs w:val="28"/>
        </w:rPr>
        <w:t>ния приблизительных оценок проектных затрат периода выполнения проекта перед тем как будет определена архитектура в целом. В качестве единиц измерения используются функциональные точки либо KSLOC.</w:t>
      </w:r>
    </w:p>
    <w:p w:rsidR="00DB736E" w:rsidRDefault="00DE0DAF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Постархитектурная модель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наиболее детализированная модель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COCOMO II, которая используется после разработки архитектуры проекта. В состав этой модели включены новые драйверы затрат, новые правила подсчёта строк кода, а также новые уравнения</w:t>
      </w:r>
    </w:p>
    <w:p w:rsidR="00DB736E" w:rsidRDefault="00DB736E">
      <w:pPr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tbl>
      <w:tblPr>
        <w:tblStyle w:val="a9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3118"/>
        <w:gridCol w:w="3118"/>
      </w:tblGrid>
      <w:tr w:rsidR="00DB736E"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Модель композиции приложения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Модель ранней разработки архитектуры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Постархитектурная модель</w:t>
            </w:r>
          </w:p>
        </w:tc>
      </w:tr>
      <w:tr w:rsidR="00DB736E"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Грубые входные данные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Ясно понимаемы особенности проекта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Детальное описание проекта</w:t>
            </w:r>
          </w:p>
        </w:tc>
      </w:tr>
      <w:tr w:rsidR="00DB736E"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Оценки низкой точности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Оценки умеренной точности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Высокоточные оценки</w:t>
            </w:r>
          </w:p>
        </w:tc>
      </w:tr>
      <w:tr w:rsidR="00DB736E"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Приблизительные требования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Ясно понимаемые требования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Стабилизировавшиеся основные требования</w:t>
            </w:r>
          </w:p>
        </w:tc>
      </w:tr>
      <w:tr w:rsidR="00DB736E"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Концепция архитектуры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Ясно понимаемая архитектура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Стабильная базовая архитектура</w:t>
            </w:r>
          </w:p>
        </w:tc>
      </w:tr>
    </w:tbl>
    <w:p w:rsidR="00DB736E" w:rsidRDefault="00DB73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B73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B73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a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DB736E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Преимущества COCOMO II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Недостатки COCOMO II</w:t>
            </w:r>
          </w:p>
        </w:tc>
      </w:tr>
      <w:tr w:rsidR="00DB736E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возможен учёт многих факторов</w:t>
            </w:r>
          </w:p>
          <w:p w:rsidR="00DB736E" w:rsidRDefault="00DE0DA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универсальный метод</w:t>
            </w:r>
          </w:p>
          <w:p w:rsidR="00DB736E" w:rsidRDefault="00DE0DA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фактические данные подбираются в соответствии с реальными проектами</w:t>
            </w:r>
          </w:p>
          <w:p w:rsidR="00DB736E" w:rsidRDefault="00DE0DA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 позволяет добавлять уникальные факторы для корректировки характеристик</w:t>
            </w:r>
          </w:p>
          <w:p w:rsidR="00DB736E" w:rsidRDefault="00DE0DA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прогнозирования сопровождаются обязательной документацией</w:t>
            </w:r>
          </w:p>
          <w:p w:rsidR="00DB736E" w:rsidRDefault="00DE0DA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модель проста в освоении и применении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36E" w:rsidRDefault="00DE0DAF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все результаты зависят от размера программного продукта</w:t>
            </w:r>
          </w:p>
          <w:p w:rsidR="00DB736E" w:rsidRDefault="00DE0DAF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игнорируются требования к характеристикам качества программного продукта</w:t>
            </w:r>
          </w:p>
          <w:p w:rsidR="00DB736E" w:rsidRDefault="00DE0DAF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игнорируется изменяемость требований к программному продукту</w:t>
            </w:r>
          </w:p>
          <w:p w:rsidR="00DB736E" w:rsidRDefault="00DE0DAF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игнорируются многие особенности, связанные с аппаратным обеспечени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ем проекта</w:t>
            </w:r>
          </w:p>
        </w:tc>
      </w:tr>
    </w:tbl>
    <w:p w:rsidR="00DB736E" w:rsidRDefault="00DB73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Показатели проекта:</w:t>
      </w:r>
    </w:p>
    <w:p w:rsidR="00DB736E" w:rsidRDefault="00DE0DAF">
      <w:pPr>
        <w:numPr>
          <w:ilvl w:val="0"/>
          <w:numId w:val="1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Новизна проекта (PREC)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полное отсутствие прецедентов, полностью непредсказуемый проект(т.к. была сформирована новая команда разработчиков, только отдельные члены имели некоторый опыт создания системы подобного типа)</w:t>
      </w:r>
    </w:p>
    <w:p w:rsidR="00DB736E" w:rsidRDefault="00DE0DAF">
      <w:pPr>
        <w:numPr>
          <w:ilvl w:val="0"/>
          <w:numId w:val="1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Гибкость процесса разработки (FLEX)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большей часть согласованный процесс (график жесткий, точный регламентации нет)</w:t>
      </w:r>
    </w:p>
    <w:p w:rsidR="00DB736E" w:rsidRDefault="00DE0DAF">
      <w:pPr>
        <w:numPr>
          <w:ilvl w:val="0"/>
          <w:numId w:val="1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Разрешение рисков в архитектуре системы (RESL)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некоторое (40%)</w:t>
      </w:r>
    </w:p>
    <w:p w:rsidR="00DB736E" w:rsidRDefault="00DE0DAF">
      <w:pPr>
        <w:numPr>
          <w:ilvl w:val="0"/>
          <w:numId w:val="1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Сплоченность команды (TEAM)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некоторая согласованность (команда новая, 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были проведены определенные мероприятия по сплочению)</w:t>
      </w:r>
    </w:p>
    <w:p w:rsidR="00DB736E" w:rsidRDefault="00DE0DAF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Уровень развития процесса разработки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(PMAT)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начальный уровень (только начинают внедрять)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(Экспертная оценка стоимости человеко-месяца принята равной 60 000)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Расчёт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модели композиции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проекта. По стран</w:t>
      </w:r>
      <w:r>
        <w:rPr>
          <w:rFonts w:ascii="Times New Roman" w:eastAsia="Times New Roman" w:hAnsi="Times New Roman" w:cs="Times New Roman"/>
          <w:sz w:val="28"/>
          <w:szCs w:val="28"/>
        </w:rPr>
        <w:t>ицам:</w:t>
      </w:r>
    </w:p>
    <w:p w:rsidR="00DB736E" w:rsidRDefault="00DE0DAF">
      <w:pPr>
        <w:numPr>
          <w:ilvl w:val="0"/>
          <w:numId w:val="7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Авторизация - 3 простых поля и 1 средней сложности, 3 поколения</w:t>
      </w:r>
    </w:p>
    <w:p w:rsidR="00DB736E" w:rsidRDefault="00DE0DAF">
      <w:pPr>
        <w:numPr>
          <w:ilvl w:val="0"/>
          <w:numId w:val="7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Биржевые сводки - 3 простых поля и 1 средней сложности, 3 поколения</w:t>
      </w:r>
    </w:p>
    <w:p w:rsidR="00DB736E" w:rsidRDefault="00DE0DAF">
      <w:pPr>
        <w:numPr>
          <w:ilvl w:val="0"/>
          <w:numId w:val="7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Заявки - 1 простое поле и 2 средней сложности, 3 поколения</w:t>
      </w:r>
    </w:p>
    <w:p w:rsidR="00DB736E" w:rsidRDefault="00DE0DAF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Новая заявка - 4 простых поля и 1 средней сложности, 3 поко</w:t>
      </w:r>
      <w:r>
        <w:rPr>
          <w:rFonts w:ascii="Times New Roman" w:eastAsia="Times New Roman" w:hAnsi="Times New Roman" w:cs="Times New Roman"/>
          <w:sz w:val="28"/>
          <w:szCs w:val="28"/>
        </w:rPr>
        <w:t>ления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Итого:</w:t>
      </w:r>
    </w:p>
    <w:p w:rsidR="00DB736E" w:rsidRDefault="00DE0DAF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Полей простой сложности: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11</w:t>
      </w:r>
    </w:p>
    <w:p w:rsidR="00DB736E" w:rsidRDefault="00DE0DAF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Полей средней сложности: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</w:t>
      </w:r>
    </w:p>
    <w:p w:rsidR="00DB736E" w:rsidRDefault="00DE0DAF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Полей высокой сложности: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0</w:t>
      </w:r>
    </w:p>
    <w:p w:rsidR="00DB736E" w:rsidRDefault="00DE0DAF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Модулей на ЯП 3-го поколения: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:rsidR="00DB736E" w:rsidRDefault="00DE0DAF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Повторное использование: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предусматривается</w:t>
      </w:r>
    </w:p>
    <w:p w:rsidR="00DB736E" w:rsidRDefault="00DE0DAF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Опытность команды: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низкая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Расчёт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модели ранней разработки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архитектуры:</w:t>
      </w:r>
    </w:p>
    <w:p w:rsidR="00DB736E" w:rsidRDefault="00DE0DAF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Надёжность и уровень сложности (RCPX)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очень высокое</w:t>
      </w:r>
    </w:p>
    <w:p w:rsidR="00DB736E" w:rsidRDefault="00DE0DAF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Повторное использование компонентов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не предусматривается </w:t>
      </w:r>
      <w:r>
        <w:rPr>
          <w:rFonts w:ascii="Times New Roman" w:eastAsia="Times New Roman" w:hAnsi="Times New Roman" w:cs="Times New Roman"/>
          <w:sz w:val="28"/>
          <w:szCs w:val="28"/>
        </w:rPr>
        <w:t>(RUSE)</w:t>
      </w:r>
    </w:p>
    <w:p w:rsidR="00DB736E" w:rsidRDefault="00DE0DAF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Возможности персонала (PERS)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средние</w:t>
      </w:r>
    </w:p>
    <w:p w:rsidR="00DB736E" w:rsidRDefault="00DE0DAF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Сложности платформы (PDIF)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высокая</w:t>
      </w:r>
    </w:p>
    <w:p w:rsidR="00DB736E" w:rsidRDefault="00DE0DAF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Очень интенсивное </w:t>
      </w:r>
      <w:r>
        <w:rPr>
          <w:rFonts w:ascii="Times New Roman" w:eastAsia="Times New Roman" w:hAnsi="Times New Roman" w:cs="Times New Roman"/>
          <w:sz w:val="28"/>
          <w:szCs w:val="28"/>
        </w:rPr>
        <w:t>использование инструментальных средств поддержки (FCIL)</w:t>
      </w:r>
    </w:p>
    <w:p w:rsidR="00DB736E" w:rsidRDefault="00DE0DAF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Жесткий график (SCED)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3568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0115" cy="35687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736E" w:rsidRDefault="00DB73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B73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E0DA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данной работы была освоена методология оценки параметров проекта COCOMO II и разработан программный инструмент для её применения. Выполнен анализ вы</w:t>
      </w:r>
      <w:r>
        <w:rPr>
          <w:rFonts w:ascii="Times New Roman" w:eastAsia="Times New Roman" w:hAnsi="Times New Roman" w:cs="Times New Roman"/>
          <w:sz w:val="28"/>
          <w:szCs w:val="28"/>
        </w:rPr>
        <w:t>данного задания:</w:t>
      </w:r>
    </w:p>
    <w:p w:rsidR="00DB736E" w:rsidRDefault="00DE0DAF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рассчитаны функциональные точки и показатель степени модели (p)</w:t>
      </w:r>
    </w:p>
    <w:p w:rsidR="00DB736E" w:rsidRDefault="00DE0DAF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были определены факторы, влияющие на показатель степени</w:t>
      </w:r>
    </w:p>
    <w:p w:rsidR="00DB736E" w:rsidRDefault="00DE0DAF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рассчитаны трудозатраты и времени по моделям:</w:t>
      </w:r>
    </w:p>
    <w:p w:rsidR="00DB736E" w:rsidRDefault="00DE0DAF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ранней разработки архитектуры приложения</w:t>
      </w:r>
    </w:p>
    <w:p w:rsidR="00DB736E" w:rsidRDefault="00DE0DAF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композиции приложения</w:t>
      </w:r>
    </w:p>
    <w:p w:rsidR="00DB736E" w:rsidRDefault="00DB73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модели композиции приложения приложения прогноз более благоприятный, чем в модели ранней архитектуры приложения.</w:t>
      </w:r>
    </w:p>
    <w:p w:rsidR="00DB736E" w:rsidRDefault="00DE0D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Методология COCOMO II является более сложной по сравнению с COCOMO, но позволяет более тонко настраивать параметры плана, что даёт более точ</w:t>
      </w:r>
      <w:r>
        <w:rPr>
          <w:rFonts w:ascii="Times New Roman" w:eastAsia="Times New Roman" w:hAnsi="Times New Roman" w:cs="Times New Roman"/>
          <w:sz w:val="28"/>
          <w:szCs w:val="28"/>
        </w:rPr>
        <w:t>ный и детальный прогноз.</w:t>
      </w:r>
    </w:p>
    <w:p w:rsidR="00DB736E" w:rsidRDefault="00DB73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736E" w:rsidRDefault="00DB73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DB736E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0DAF" w:rsidRDefault="00DE0DAF">
      <w:pPr>
        <w:spacing w:after="0" w:line="240" w:lineRule="auto"/>
      </w:pPr>
      <w:r>
        <w:separator/>
      </w:r>
    </w:p>
  </w:endnote>
  <w:endnote w:type="continuationSeparator" w:id="0">
    <w:p w:rsidR="00DE0DAF" w:rsidRDefault="00DE0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Times"/>
    <w:panose1 w:val="00000500000000020000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Cambria"/>
    <w:panose1 w:val="020B06040202020202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736E" w:rsidRDefault="00DE0DAF">
    <w:pPr>
      <w:jc w:val="center"/>
    </w:pPr>
    <w:r>
      <w:fldChar w:fldCharType="begin"/>
    </w:r>
    <w:r>
      <w:instrText>PAGE</w:instrText>
    </w:r>
    <w:r w:rsidR="00FE4205">
      <w:fldChar w:fldCharType="separate"/>
    </w:r>
    <w:r w:rsidR="00FE4205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736E" w:rsidRDefault="00DB736E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0DAF" w:rsidRDefault="00DE0DAF">
      <w:pPr>
        <w:spacing w:after="0" w:line="240" w:lineRule="auto"/>
      </w:pPr>
      <w:r>
        <w:separator/>
      </w:r>
    </w:p>
  </w:footnote>
  <w:footnote w:type="continuationSeparator" w:id="0">
    <w:p w:rsidR="00DE0DAF" w:rsidRDefault="00DE0D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56416"/>
    <w:multiLevelType w:val="multilevel"/>
    <w:tmpl w:val="D458E1D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A7F582C"/>
    <w:multiLevelType w:val="multilevel"/>
    <w:tmpl w:val="C9600B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86759BF"/>
    <w:multiLevelType w:val="multilevel"/>
    <w:tmpl w:val="601C90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A3544D"/>
    <w:multiLevelType w:val="multilevel"/>
    <w:tmpl w:val="A6F8E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D13B58"/>
    <w:multiLevelType w:val="multilevel"/>
    <w:tmpl w:val="DD605B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96B2E62"/>
    <w:multiLevelType w:val="multilevel"/>
    <w:tmpl w:val="30C2F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E890083"/>
    <w:multiLevelType w:val="multilevel"/>
    <w:tmpl w:val="AC8869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F14414"/>
    <w:multiLevelType w:val="multilevel"/>
    <w:tmpl w:val="C98EE8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5746677"/>
    <w:multiLevelType w:val="multilevel"/>
    <w:tmpl w:val="555ADE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E6174E"/>
    <w:multiLevelType w:val="multilevel"/>
    <w:tmpl w:val="8042D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5825CAA"/>
    <w:multiLevelType w:val="multilevel"/>
    <w:tmpl w:val="853489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C967F30"/>
    <w:multiLevelType w:val="multilevel"/>
    <w:tmpl w:val="5D645C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FC77460"/>
    <w:multiLevelType w:val="multilevel"/>
    <w:tmpl w:val="B9E06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10"/>
  </w:num>
  <w:num w:numId="5">
    <w:abstractNumId w:val="11"/>
  </w:num>
  <w:num w:numId="6">
    <w:abstractNumId w:val="5"/>
  </w:num>
  <w:num w:numId="7">
    <w:abstractNumId w:val="9"/>
  </w:num>
  <w:num w:numId="8">
    <w:abstractNumId w:val="6"/>
  </w:num>
  <w:num w:numId="9">
    <w:abstractNumId w:val="8"/>
  </w:num>
  <w:num w:numId="10">
    <w:abstractNumId w:val="12"/>
  </w:num>
  <w:num w:numId="11">
    <w:abstractNumId w:val="0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736E"/>
    <w:rsid w:val="00DB736E"/>
    <w:rsid w:val="00DE0DAF"/>
    <w:rsid w:val="00FE4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BA793D2"/>
  <w15:docId w15:val="{FF9E8CC3-6BA6-DC41-98F9-D6A5C51B6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2008</Words>
  <Characters>11449</Characters>
  <Application>Microsoft Office Word</Application>
  <DocSecurity>0</DocSecurity>
  <Lines>95</Lines>
  <Paragraphs>26</Paragraphs>
  <ScaleCrop>false</ScaleCrop>
  <Company/>
  <LinksUpToDate>false</LinksUpToDate>
  <CharactersWithSpaces>13431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2023-04-19T22:34:00Z</dcterms:created>
  <dcterms:modified xsi:type="dcterms:W3CDTF">2023-04-19T22:34:00Z</dcterms:modified>
</cp:coreProperties>
</file>