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Noto Sans CJK SC"/>
          <w:b w:val="0"/>
          <w:color w:val="000000"/>
        </w:rPr>
        <w:t>学生学习工作台项目规划</w:t>
      </w:r>
    </w:p>
    <w:p>
      <w:pPr>
        <w:pStyle w:val="Subtitle"/>
        <w:keepNext/>
      </w:pPr>
      <w:r>
        <w:rPr>
          <w:rFonts w:ascii="Calibri" w:hAnsi="Calibri" w:eastAsia="Noto Sans CJK SC"/>
          <w:b w:val="0"/>
          <w:color w:val="000000"/>
        </w:rPr>
        <w:t>Student Workbench TeachAthon 2026 组内讨论稿</w:t>
      </w:r>
    </w:p>
    <w:p>
      <w:r>
        <w:rPr>
          <w:rFonts w:ascii="Calibri" w:hAnsi="Calibri" w:eastAsia="Noto Sans CJK SC"/>
          <w:b w:val="0"/>
          <w:color w:val="000000"/>
        </w:rPr>
        <w:t>方案版本：1.0　更新日期：2026 年 10 月 18 日　项目名称：暂定</w:t>
      </w:r>
    </w:p>
    <w:p>
      <w:pPr>
        <w:pStyle w:val="Heading1"/>
      </w:pPr>
      <w:r>
        <w:rPr>
          <w:rFonts w:ascii="Calibri" w:hAnsi="Calibri" w:eastAsia="Noto Sans CJK SC"/>
          <w:b w:val="0"/>
          <w:color w:val="000000"/>
        </w:rPr>
        <w:t>项目摘要</w:t>
      </w:r>
    </w:p>
    <w:p>
      <w:r>
        <w:rPr>
          <w:rFonts w:ascii="Calibri" w:hAnsi="Calibri" w:eastAsia="Noto Sans CJK SC"/>
          <w:b w:val="0"/>
          <w:color w:val="000000"/>
        </w:rPr>
        <w:t>本项目拟建设一个面向高校学生的学习工作台，将课程资料、每周学习内容和长期作业安排放在同一套流程中。学生按课程上传材料，平台辅助整理知识、拆解作业要求、安排学习步骤，并通过短学习关卡和有出处的问答支持课后消化。首页呈现学期时间、各项作业进度和本周任务，帮助学生明确接下来需要完成什么。</w:t>
      </w:r>
    </w:p>
    <w:p>
      <w:r>
        <w:rPr>
          <w:rFonts w:ascii="Calibri" w:hAnsi="Calibri" w:eastAsia="Noto Sans CJK SC"/>
          <w:b w:val="0"/>
          <w:color w:val="000000"/>
        </w:rPr>
        <w:t>产品采用手机优先的响应式网页，同时支持电脑访问，拟通过学校 ELM 接口调用通用模型。核心价值在于把真实课程要求转化为学生可以执行、核对和调整的行动，并支持分次学习。我们需要验证这种组织方式是否降低开始任务的难度、改善课后理解，以及帮助学生从受阻状态恢复。</w:t>
      </w:r>
    </w:p>
    <w:p>
      <w:r>
        <w:rPr>
          <w:rFonts w:ascii="Calibri" w:hAnsi="Calibri" w:eastAsia="Noto Sans CJK SC"/>
          <w:b w:val="0"/>
          <w:color w:val="000000"/>
        </w:rPr>
        <w:t>本文用于组内讨论产品方向、功能取舍、技术路线、任务分工和参赛安排。以下优先级、内部日期及角色分配均为建议，需由团队确认。</w:t>
      </w:r>
    </w:p>
    <w:p>
      <w:pPr>
        <w:pStyle w:val="Heading1"/>
      </w:pPr>
      <w:r>
        <w:rPr>
          <w:rFonts w:ascii="Calibri" w:hAnsi="Calibri" w:eastAsia="Noto Sans CJK SC"/>
          <w:b w:val="0"/>
          <w:color w:val="000000"/>
        </w:rPr>
        <w:t>1 项目背景与需求</w:t>
      </w:r>
    </w:p>
    <w:p>
      <w:pPr>
        <w:pStyle w:val="Heading2"/>
      </w:pPr>
      <w:r>
        <w:rPr>
          <w:rFonts w:ascii="Calibri" w:hAnsi="Calibri" w:eastAsia="Noto Sans CJK SC"/>
          <w:b w:val="0"/>
          <w:color w:val="000000"/>
        </w:rPr>
        <w:t>1.1 需要解决的问题</w:t>
      </w:r>
    </w:p>
    <w:p>
      <w:r>
        <w:rPr>
          <w:rFonts w:ascii="Calibri" w:hAnsi="Calibri" w:eastAsia="Noto Sans CJK SC"/>
          <w:b w:val="0"/>
          <w:color w:val="000000"/>
        </w:rPr>
        <w:t>高校学生通常同时处理多门课程。课程资料、讲座内容、作业说明和个人计划分布在不同位置，学生需要自行判断哪些内容应当复习、哪些作业应当先做，以及一份长期 coursework 应如何逐步推进。</w:t>
      </w:r>
    </w:p>
    <w:p>
      <w:r>
        <w:rPr>
          <w:rFonts w:ascii="Calibri" w:hAnsi="Calibri" w:eastAsia="Noto Sans CJK SC"/>
          <w:b w:val="0"/>
          <w:color w:val="000000"/>
        </w:rPr>
        <w:t>课程平台主要承担资料发布、通知与提交功能。学生拿到课件或作业说明后，仍需要把材料转化为理解过程和个人行动计划。本项目关注这一学习环节：从“知道有一份材料或作业”推进到“知道下一步如何开始”。</w:t>
      </w:r>
    </w:p>
    <w:p>
      <w:r>
        <w:rPr>
          <w:rFonts w:ascii="Calibri" w:hAnsi="Calibri" w:eastAsia="Noto Sans CJK SC"/>
          <w:b w:val="0"/>
          <w:color w:val="000000"/>
        </w:rPr>
        <w:t>方案围绕三项需求假设展开：学生需要跨课程的任务总览；需要能够分多次完成的课后学习路线；需要在计划变化或遇到理解困难时调整下一步。这些假设应通过访谈和试用核实，不能仅依据团队自身体验推断所有学生的需求。</w:t>
      </w:r>
    </w:p>
    <w:p>
      <w:pPr>
        <w:pStyle w:val="Heading2"/>
      </w:pPr>
      <w:r>
        <w:rPr>
          <w:rFonts w:ascii="Calibri" w:hAnsi="Calibri" w:eastAsia="Noto Sans CJK SC"/>
          <w:b w:val="0"/>
          <w:color w:val="000000"/>
        </w:rPr>
        <w:t>1.2 AI 学习研究带来的启示</w:t>
      </w:r>
    </w:p>
    <w:p>
      <w:r>
        <w:rPr>
          <w:rFonts w:ascii="Calibri" w:hAnsi="Calibri" w:eastAsia="Noto Sans CJK SC"/>
          <w:b w:val="0"/>
          <w:color w:val="000000"/>
        </w:rPr>
        <w:t>Bastani 等的高中数学研究发现，普通生成式 AI 辅助可以改善使用工具时的练习表现，但撤去工具后的独立测试可能变差；教师设计的提示与护栏主要缓解了这种负面影响。[2] 这提示我们将完成记录与独立理解分开，鼓励学生先尝试，再获得提示和解释。</w:t>
      </w:r>
    </w:p>
    <w:p>
      <w:r>
        <w:rPr>
          <w:rFonts w:ascii="Calibri" w:hAnsi="Calibri" w:eastAsia="Noto Sans CJK SC"/>
          <w:b w:val="0"/>
          <w:color w:val="000000"/>
        </w:rPr>
        <w:t>Kestin 等在大学初级物理课程中发现，经过教学设计、按步骤推进的 AI 导师在所测课程内容上取得较好的短期学习表现。[3] 该研究支持明确教学顺序、针对性反馈和自主节奏，但不能据此保证任意课件、所有学科或长期学习效果。</w:t>
      </w:r>
    </w:p>
    <w:p>
      <w:r>
        <w:rPr>
          <w:rFonts w:ascii="Calibri" w:hAnsi="Calibri" w:eastAsia="Noto Sans CJK SC"/>
          <w:b w:val="0"/>
          <w:color w:val="000000"/>
        </w:rPr>
        <w:t>基于这些研究，本项目将材料准确性、关卡结构和无提示检验作为设计重点。接入模型是实现手段，学习效果仍需要针对本产品进行评估。</w:t>
      </w:r>
    </w:p>
    <w:p>
      <w:pPr>
        <w:pStyle w:val="Heading1"/>
      </w:pPr>
      <w:r>
        <w:rPr>
          <w:rFonts w:ascii="Calibri" w:hAnsi="Calibri" w:eastAsia="Noto Sans CJK SC"/>
          <w:b w:val="0"/>
          <w:color w:val="000000"/>
        </w:rPr>
        <w:t>2 目标用户与产品定位</w:t>
      </w:r>
    </w:p>
    <w:p>
      <w:pPr>
        <w:pStyle w:val="Heading2"/>
      </w:pPr>
      <w:r>
        <w:rPr>
          <w:rFonts w:ascii="Calibri" w:hAnsi="Calibri" w:eastAsia="Noto Sans CJK SC"/>
          <w:b w:val="0"/>
          <w:color w:val="000000"/>
        </w:rPr>
        <w:t>2.1 目标用户</w:t>
      </w:r>
    </w:p>
    <w:p>
      <w:r>
        <w:rPr>
          <w:rFonts w:ascii="Calibri" w:hAnsi="Calibri" w:eastAsia="Noto Sans CJK SC"/>
          <w:b w:val="0"/>
          <w:color w:val="000000"/>
        </w:rPr>
        <w:t>主要用户是需要同时管理多门课程、希望利用零散课后时间学习的本科生和研究生。平台的课程分类、资料组织和任务推进流程面向不同学科；具体题型和学习活动则按材料与学习目标调整。</w:t>
      </w:r>
    </w:p>
    <w:p>
      <w:r>
        <w:rPr>
          <w:rFonts w:ascii="Calibri" w:hAnsi="Calibri" w:eastAsia="Noto Sans CJK SC"/>
          <w:b w:val="0"/>
          <w:color w:val="000000"/>
        </w:rPr>
        <w:t>例如，理工科课程可以围绕概念、公式适用条件和实验步骤设计活动；人文社科课程可以围绕论点、证据、研究方法和案例判断设计活动。选择题适用于部分基础理解检查，长论证、设计作品和完整实验能力需要其他评价形式。</w:t>
      </w:r>
    </w:p>
    <w:p>
      <w:pPr>
        <w:pStyle w:val="Heading2"/>
      </w:pPr>
      <w:r>
        <w:rPr>
          <w:rFonts w:ascii="Calibri" w:hAnsi="Calibri" w:eastAsia="Noto Sans CJK SC"/>
          <w:b w:val="0"/>
          <w:color w:val="000000"/>
        </w:rPr>
        <w:t>2.2 产品定位</w:t>
      </w:r>
    </w:p>
    <w:p>
      <w:r>
        <w:rPr>
          <w:rFonts w:ascii="Calibri" w:hAnsi="Calibri" w:eastAsia="Noto Sans CJK SC"/>
          <w:b w:val="0"/>
          <w:color w:val="000000"/>
        </w:rPr>
        <w:t>产品定位为学生自主使用的课程学习与作业推进工作台。学生保留课程分类、要求确认、计划调整和最终提交的决定权，AI 辅助整理和解释材料，提出可核对的草稿。</w:t>
      </w:r>
    </w:p>
    <w:p>
      <w:r>
        <w:rPr>
          <w:rFonts w:ascii="Calibri" w:hAnsi="Calibri" w:eastAsia="Noto Sans CJK SC"/>
          <w:b w:val="0"/>
          <w:color w:val="000000"/>
        </w:rPr>
        <w:t>项目目标包括：让学生迅速识别本周各门课程的任务；把较大的作业拆成可开始的小步骤；把课件转化为可分次完成的学习活动；使疑问、反馈和进度始终关联到正确的课程与材料。</w:t>
      </w:r>
    </w:p>
    <w:p>
      <w:pPr>
        <w:pStyle w:val="Heading1"/>
      </w:pPr>
      <w:r>
        <w:rPr>
          <w:rFonts w:ascii="Calibri" w:hAnsi="Calibri" w:eastAsia="Noto Sans CJK SC"/>
          <w:b w:val="0"/>
          <w:color w:val="000000"/>
        </w:rPr>
        <w:t>3 参考产品与差异设计</w:t>
      </w:r>
    </w:p>
    <w:p>
      <w:r>
        <w:rPr>
          <w:rFonts w:ascii="Calibri" w:hAnsi="Calibri" w:eastAsia="Noto Sans CJK SC"/>
          <w:b w:val="0"/>
          <w:color w:val="000000"/>
        </w:rPr>
        <w:t>MyStudyLife 官方介绍了课程表、作业、考试、提醒和 AI 学习规划；Shovel 官方介绍了 syllabus 导入、任务估时和可用学习时间安排。[4][5] 因此，课程管理、上传材料、AI 规划和自动出题不能单独作为本项目的创新论据。</w:t>
      </w:r>
    </w:p>
    <w:p>
      <w:r>
        <w:rPr>
          <w:rFonts w:ascii="Calibri" w:hAnsi="Calibri" w:eastAsia="Noto Sans CJK SC"/>
          <w:b w:val="0"/>
          <w:color w:val="000000"/>
        </w:rPr>
        <w:t>团队应结合 TeachAthon 2025 官方项目档案，从目标问题、用户流程和学习支持方式逐项比较。[6] 差异设计的价值需要通过实际情境和评估说明，不作“市场首创”判断。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3888"/>
        <w:gridCol w:w="4162"/>
      </w:tblGrid>
      <w:tr>
        <w:trPr>
          <w:cantSplit/>
          <w:tblHeader/>
        </w:trPr>
        <w:tc>
          <w:tcPr>
            <w:tcW w:type="dxa" w:w="1915"/>
            <w:vAlign w:val="center"/>
            <w:tcMar>
              <w:top w:w="100" w:type="dxa"/>
              <w:bottom w:w="100" w:type="dxa"/>
              <w:left w:w="110" w:type="dxa"/>
              <w:right w:w="110" w:type="dxa"/>
            </w:tcMar>
            <w:shd w:fill="EFF1F3"/>
          </w:tcPr>
          <w:p>
            <w:pPr>
              <w:keepNext/>
              <w:spacing w:before="0" w:after="0" w:line="320" w:lineRule="exact"/>
              <w:jc w:val="left"/>
            </w:pPr>
            <w:r>
              <w:rPr>
                <w:rFonts w:ascii="Calibri" w:hAnsi="Calibri" w:eastAsia="Noto Sans CJK SC"/>
                <w:b/>
                <w:color w:val="000000"/>
                <w:sz w:val="22"/>
              </w:rPr>
              <w:t>拟验证的</w:t>
              <w:br/>
              <w:t>差异设计</w:t>
            </w:r>
          </w:p>
        </w:tc>
        <w:tc>
          <w:tcPr>
            <w:tcW w:type="dxa" w:w="3888"/>
            <w:vAlign w:val="center"/>
            <w:tcMar>
              <w:top w:w="100" w:type="dxa"/>
              <w:bottom w:w="100" w:type="dxa"/>
              <w:left w:w="110" w:type="dxa"/>
              <w:right w:w="110" w:type="dxa"/>
            </w:tcMar>
            <w:shd w:fill="EFF1F3"/>
          </w:tcPr>
          <w:p>
            <w:pPr>
              <w:keepNext/>
              <w:spacing w:before="0" w:after="0" w:line="320" w:lineRule="exact"/>
              <w:jc w:val="center"/>
            </w:pPr>
            <w:r>
              <w:rPr>
                <w:rFonts w:ascii="Calibri" w:hAnsi="Calibri" w:eastAsia="Noto Sans CJK SC"/>
                <w:b/>
                <w:color w:val="000000"/>
                <w:sz w:val="22"/>
              </w:rPr>
              <w:t>产品中的具体体现</w:t>
            </w:r>
          </w:p>
        </w:tc>
        <w:tc>
          <w:tcPr>
            <w:tcW w:type="dxa" w:w="4162"/>
            <w:vAlign w:val="center"/>
            <w:tcMar>
              <w:top w:w="100" w:type="dxa"/>
              <w:bottom w:w="100" w:type="dxa"/>
              <w:left w:w="110" w:type="dxa"/>
              <w:right w:w="110" w:type="dxa"/>
            </w:tcMar>
            <w:shd w:fill="EFF1F3"/>
          </w:tcPr>
          <w:p>
            <w:pPr>
              <w:keepNext/>
              <w:spacing w:before="0" w:after="0" w:line="320" w:lineRule="exact"/>
              <w:jc w:val="center"/>
            </w:pPr>
            <w:r>
              <w:rPr>
                <w:rFonts w:ascii="Calibri" w:hAnsi="Calibri" w:eastAsia="Noto Sans CJK SC"/>
                <w:b/>
                <w:color w:val="000000"/>
                <w:sz w:val="22"/>
              </w:rPr>
              <w:t>需要验证的问题</w:t>
            </w:r>
          </w:p>
        </w:tc>
      </w:tr>
      <w:tr>
        <w:trPr>
          <w:cantSplit/>
        </w:trPr>
        <w:tc>
          <w:tcPr>
            <w:tcW w:type="dxa" w:w="1915"/>
            <w:vAlign w:val="center"/>
            <w:tcMar>
              <w:top w:w="100" w:type="dxa"/>
              <w:bottom w:w="100" w:type="dxa"/>
              <w:left w:w="110" w:type="dxa"/>
              <w:right w:w="110" w:type="dxa"/>
            </w:tcMar>
          </w:tcPr>
          <w:p>
            <w:pPr>
              <w:keepNext/>
              <w:spacing w:before="0" w:after="0" w:line="320" w:lineRule="exact"/>
              <w:jc w:val="left"/>
            </w:pPr>
            <w:r>
              <w:rPr>
                <w:rFonts w:ascii="Calibri" w:hAnsi="Calibri" w:eastAsia="Noto Sans CJK SC"/>
                <w:b w:val="0"/>
                <w:color w:val="000000"/>
                <w:sz w:val="22"/>
              </w:rPr>
              <w:t>课程要求与行动关联</w:t>
            </w:r>
          </w:p>
        </w:tc>
        <w:tc>
          <w:tcPr>
            <w:tcW w:type="dxa" w:w="3888"/>
            <w:vAlign w:val="center"/>
            <w:tcMar>
              <w:top w:w="100" w:type="dxa"/>
              <w:bottom w:w="100" w:type="dxa"/>
              <w:left w:w="110" w:type="dxa"/>
              <w:right w:w="110" w:type="dxa"/>
            </w:tcMar>
          </w:tcPr>
          <w:p>
            <w:pPr>
              <w:keepNext/>
              <w:spacing w:before="0" w:after="0" w:line="320" w:lineRule="exact"/>
              <w:jc w:val="left"/>
            </w:pPr>
            <w:r>
              <w:rPr>
                <w:rFonts w:ascii="Calibri" w:hAnsi="Calibri" w:eastAsia="Noto Sans CJK SC"/>
                <w:b w:val="0"/>
                <w:color w:val="000000"/>
                <w:sz w:val="22"/>
              </w:rPr>
              <w:t>作业步骤连回原始 brief 或 rubric；缺失要求标为待确认</w:t>
            </w:r>
          </w:p>
        </w:tc>
        <w:tc>
          <w:tcPr>
            <w:tcW w:type="dxa" w:w="4162"/>
            <w:vAlign w:val="center"/>
            <w:tcMar>
              <w:top w:w="100" w:type="dxa"/>
              <w:bottom w:w="100" w:type="dxa"/>
              <w:left w:w="110" w:type="dxa"/>
              <w:right w:w="110" w:type="dxa"/>
            </w:tcMar>
          </w:tcPr>
          <w:p>
            <w:pPr>
              <w:keepNext/>
              <w:spacing w:before="0" w:after="0" w:line="320" w:lineRule="exact"/>
              <w:jc w:val="left"/>
            </w:pPr>
            <w:r>
              <w:rPr>
                <w:rFonts w:ascii="Calibri" w:hAnsi="Calibri" w:eastAsia="Noto Sans CJK SC"/>
                <w:b w:val="0"/>
                <w:color w:val="000000"/>
                <w:sz w:val="22"/>
              </w:rPr>
              <w:t>学生是否更清楚某一步为何需要完成，要求是否被遗漏</w:t>
            </w:r>
          </w:p>
        </w:tc>
      </w:tr>
      <w:tr>
        <w:trPr>
          <w:cantSplit/>
        </w:trPr>
        <w:tc>
          <w:tcPr>
            <w:tcW w:type="dxa" w:w="1915"/>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每周学习与作业推进衔接</w:t>
            </w:r>
          </w:p>
        </w:tc>
        <w:tc>
          <w:tcPr>
            <w:tcW w:type="dxa" w:w="3888"/>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首页按课程组织任务，课件学习活动和 coursework 步骤进入同一周计划</w:t>
            </w:r>
          </w:p>
        </w:tc>
        <w:tc>
          <w:tcPr>
            <w:tcW w:type="dxa" w:w="4162"/>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是否减少查找和切换，提高开始任务的便利性</w:t>
            </w:r>
          </w:p>
        </w:tc>
      </w:tr>
      <w:tr>
        <w:trPr>
          <w:cantSplit/>
        </w:trPr>
        <w:tc>
          <w:tcPr>
            <w:tcW w:type="dxa" w:w="1915"/>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受阻后调整计划</w:t>
            </w:r>
          </w:p>
        </w:tc>
        <w:tc>
          <w:tcPr>
            <w:tcW w:type="dxa" w:w="3888"/>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区分理解困难、要求不清、材料不足和时间不足，提出可确认的下一步</w:t>
            </w:r>
          </w:p>
        </w:tc>
        <w:tc>
          <w:tcPr>
            <w:tcW w:type="dxa" w:w="4162"/>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学生能否重新开始，调整后计划是否仍可执行</w:t>
            </w:r>
          </w:p>
        </w:tc>
      </w:tr>
      <w:tr>
        <w:trPr>
          <w:cantSplit/>
        </w:trPr>
        <w:tc>
          <w:tcPr>
            <w:tcW w:type="dxa" w:w="1915"/>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完成记录与学习证据分开</w:t>
            </w:r>
          </w:p>
        </w:tc>
        <w:tc>
          <w:tcPr>
            <w:tcW w:type="dxa" w:w="3888"/>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记录任务完成度，同时保留作答、错误点和无提示检验</w:t>
            </w:r>
          </w:p>
        </w:tc>
        <w:tc>
          <w:tcPr>
            <w:tcW w:type="dxa" w:w="4162"/>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学生是否能独立解释或应用知识，而非只完成点击</w:t>
            </w:r>
          </w:p>
        </w:tc>
      </w:tr>
    </w:tbl>
    <w:p>
      <w:pPr>
        <w:spacing w:after="40" w:before="0" w:line="240" w:lineRule="auto"/>
      </w:pPr>
      <w:r>
        <w:rPr>
          <w:rFonts w:ascii="Calibri" w:hAnsi="Calibri" w:eastAsia="Noto Sans CJK SC"/>
          <w:color w:val="000000"/>
          <w:sz w:val="6"/>
        </w:rPr>
      </w:r>
    </w:p>
    <w:p>
      <w:pPr>
        <w:pStyle w:val="Heading1"/>
      </w:pPr>
      <w:r>
        <w:rPr>
          <w:rFonts w:ascii="Calibri" w:hAnsi="Calibri" w:eastAsia="Noto Sans CJK SC"/>
          <w:b w:val="0"/>
          <w:color w:val="000000"/>
        </w:rPr>
        <w:t>4 用户流程与功能设计</w:t>
      </w:r>
    </w:p>
    <w:p>
      <w:r>
        <w:rPr>
          <w:rFonts w:ascii="Calibri" w:hAnsi="Calibri" w:eastAsia="Noto Sans CJK SC"/>
          <w:b w:val="0"/>
          <w:color w:val="000000"/>
        </w:rPr>
        <w:t>整体流程为：建立课程 → 上传并确认资料归属 → 整理知识或作业要求 → 确认学习步骤 → 安排到每周 → 完成短活动 → 查看反馈与调整计划。</w:t>
      </w:r>
    </w:p>
    <w:p>
      <w:pPr>
        <w:pStyle w:val="Heading2"/>
      </w:pPr>
      <w:r>
        <w:rPr>
          <w:rFonts w:ascii="Calibri" w:hAnsi="Calibri" w:eastAsia="Noto Sans CJK SC"/>
          <w:b w:val="0"/>
          <w:color w:val="000000"/>
        </w:rPr>
        <w:t>4.1 学期总览与每周任务</w:t>
      </w:r>
    </w:p>
    <w:p>
      <w:r>
        <w:rPr>
          <w:rFonts w:ascii="Calibri" w:hAnsi="Calibri" w:eastAsia="Noto Sans CJK SC"/>
          <w:b w:val="0"/>
          <w:color w:val="000000"/>
        </w:rPr>
        <w:t>首页设置两层信息。第一层显示学期已过去的时间比例，并以横向日历展示各门课程的 coursework。秋季学期可采用九月至次年一月的视图，实际学期起止日期由学生设置。作业横条显示个人计划区间，条内填充表示完成步骤比例，今天的位置单独标示。</w:t>
      </w:r>
    </w:p>
    <w:p>
      <w:r>
        <w:rPr>
          <w:rFonts w:ascii="Calibri" w:hAnsi="Calibri" w:eastAsia="Noto Sans CJK SC"/>
          <w:b w:val="0"/>
          <w:color w:val="000000"/>
        </w:rPr>
        <w:t>第二层按课程分卡显示本周需要完成的学习活动和作业步骤，提供剩余步骤、预计用时及继续入口。点击课程后进入对应资料与任务，避免只看到一列缺乏课程上下文的待办事项。</w:t>
      </w:r>
    </w:p>
    <w:p>
      <w:r>
        <w:rPr>
          <w:rFonts w:ascii="Calibri" w:hAnsi="Calibri" w:eastAsia="Noto Sans CJK SC"/>
          <w:b w:val="0"/>
          <w:color w:val="000000"/>
        </w:rPr>
        <w:t>学期时间比例、作业完成比例和课程评分占比应分别标注。高精度计时用于时间提醒，后续可提供降低精度或隐藏提醒的选项，评估其是否增加不必要的学习压力。</w:t>
      </w:r>
    </w:p>
    <w:p>
      <w:pPr>
        <w:pStyle w:val="Heading2"/>
      </w:pPr>
      <w:r>
        <w:rPr>
          <w:rFonts w:ascii="Calibri" w:hAnsi="Calibri" w:eastAsia="Noto Sans CJK SC"/>
          <w:b w:val="0"/>
          <w:color w:val="000000"/>
        </w:rPr>
        <w:t>4.2 课程分类与资料组织</w:t>
      </w:r>
    </w:p>
    <w:p>
      <w:r>
        <w:rPr>
          <w:rFonts w:ascii="Calibri" w:hAnsi="Calibri" w:eastAsia="Noto Sans CJK SC"/>
          <w:b w:val="0"/>
          <w:color w:val="000000"/>
        </w:rPr>
        <w:t>学生先建立课程，再按周次或主题上传 lecture、reading、coursework 和 rubric。系统可以建议资料类别，但最终归属由学生确认。每份文件保留名称、版本和来源信息，相关题目、问答及学习记录均关联该文件。</w:t>
      </w:r>
    </w:p>
    <w:p>
      <w:r>
        <w:rPr>
          <w:rFonts w:ascii="Calibri" w:hAnsi="Calibri" w:eastAsia="Noto Sans CJK SC"/>
          <w:b w:val="0"/>
          <w:color w:val="000000"/>
        </w:rPr>
        <w:t>优先支持 PDF、PPTX、Word 和文本资料。图表、扫描件及复杂公式应说明解析限制，并提供原文件对照入口。跨文件学习须由学生明确选择材料范围，跨课程引用须显示来源课程。</w:t>
      </w:r>
    </w:p>
    <w:p>
      <w:pPr>
        <w:pStyle w:val="Heading2"/>
      </w:pPr>
      <w:r>
        <w:rPr>
          <w:rFonts w:ascii="Calibri" w:hAnsi="Calibri" w:eastAsia="Noto Sans CJK SC"/>
          <w:b w:val="0"/>
          <w:color w:val="000000"/>
        </w:rPr>
        <w:t>4.3 Coursework 要求拆解与排期</w:t>
      </w:r>
    </w:p>
    <w:p>
      <w:r>
        <w:rPr>
          <w:rFonts w:ascii="Calibri" w:hAnsi="Calibri" w:eastAsia="Noto Sans CJK SC"/>
          <w:b w:val="0"/>
          <w:color w:val="000000"/>
        </w:rPr>
        <w:t>学生上传作业说明和评分标准，并确认官方截止时间。平台先提取交付物、格式、字数、限制条件和评分项，再提出步骤、顺序、依赖、预期产出及粗略用时。每项要求应附原文出处；没有写明的内容保留为待确认。</w:t>
      </w:r>
    </w:p>
    <w:p>
      <w:r>
        <w:rPr>
          <w:rFonts w:ascii="Calibri" w:hAnsi="Calibri" w:eastAsia="Noto Sans CJK SC"/>
          <w:b w:val="0"/>
          <w:color w:val="000000"/>
        </w:rPr>
        <w:t>学生审核和修改后，将步骤安排到每周。例如，一份需要比较两种观点的论文型作业，可以拆为理解题目、选择文献、整理双方证据、构建论证、起草和检查引用。平台辅助安排过程，观点选择、论证与最终提交由学生负责。</w:t>
      </w:r>
    </w:p>
    <w:p>
      <w:r>
        <w:rPr>
          <w:rFonts w:ascii="Calibri" w:hAnsi="Calibri" w:eastAsia="Noto Sans CJK SC"/>
          <w:b w:val="0"/>
          <w:color w:val="000000"/>
        </w:rPr>
        <w:t>估时是可调整的建议。计划调整保留官方截止日期；若剩余时间不足，应提示冲突并支持取舍，不能静默把任务安排到截止日期之后。</w:t>
      </w:r>
    </w:p>
    <w:p>
      <w:pPr>
        <w:pStyle w:val="Heading2"/>
      </w:pPr>
      <w:r>
        <w:rPr>
          <w:rFonts w:ascii="Calibri" w:hAnsi="Calibri" w:eastAsia="Noto Sans CJK SC"/>
          <w:b w:val="0"/>
          <w:color w:val="000000"/>
        </w:rPr>
        <w:t>4.4 Lecture 分步学习</w:t>
      </w:r>
    </w:p>
    <w:p>
      <w:r>
        <w:rPr>
          <w:rFonts w:ascii="Calibri" w:hAnsi="Calibri" w:eastAsia="Noto Sans CJK SC"/>
          <w:b w:val="0"/>
          <w:color w:val="000000"/>
        </w:rPr>
        <w:t>每份或每周明确选定的课件形成一条学习路线，通常分为三至五个模块。模块长度以约五至八分钟为设计目标，实际应依据材料复杂度和试用反馈调整，短材料可以减少模块数。</w:t>
      </w:r>
    </w:p>
    <w:p>
      <w:r>
        <w:rPr>
          <w:rFonts w:ascii="Calibri" w:hAnsi="Calibri" w:eastAsia="Noto Sans CJK SC"/>
          <w:b w:val="0"/>
          <w:color w:val="000000"/>
        </w:rPr>
        <w:t>模块包含学习目标、重点概念、阅读提示、原文出处和理解检查。第一版以单选题降低输入负担，可采用识别概念、比较易混点、应用小例子和检查误解等活动。答题后提供原因和出处，允许学生退出后继续。</w:t>
      </w:r>
    </w:p>
    <w:p>
      <w:r>
        <w:rPr>
          <w:rFonts w:ascii="Calibri" w:hAnsi="Calibri" w:eastAsia="Noto Sans CJK SC"/>
          <w:b w:val="0"/>
          <w:color w:val="000000"/>
        </w:rPr>
        <w:t>参考多邻国的短活动和即时反馈方式，同时按大学课程调整内容深度。后续可增加证据选择、案例判断和简答；开放题应允许合理分歧，并采用明确的评价标准。</w:t>
      </w:r>
    </w:p>
    <w:p>
      <w:pPr>
        <w:pStyle w:val="Heading2"/>
      </w:pPr>
      <w:r>
        <w:rPr>
          <w:rFonts w:ascii="Calibri" w:hAnsi="Calibri" w:eastAsia="Noto Sans CJK SC"/>
          <w:b w:val="0"/>
          <w:color w:val="000000"/>
        </w:rPr>
        <w:t>4.5 课件阅读与课堂问答</w:t>
      </w:r>
    </w:p>
    <w:p>
      <w:r>
        <w:rPr>
          <w:rFonts w:ascii="Calibri" w:hAnsi="Calibri" w:eastAsia="Noto Sans CJK SC"/>
          <w:b w:val="0"/>
          <w:color w:val="000000"/>
        </w:rPr>
        <w:t>学生上课时可在平台打开课件，针对当前页或选定材料提问。回答优先依据该范围内的资料，提供概念解释、必要例子和来源；材料不足时明确说明需要补充信息。</w:t>
      </w:r>
    </w:p>
    <w:p>
      <w:r>
        <w:rPr>
          <w:rFonts w:ascii="Calibri" w:hAnsi="Calibri" w:eastAsia="Noto Sans CJK SC"/>
          <w:b w:val="0"/>
          <w:color w:val="000000"/>
        </w:rPr>
        <w:t>疑问可保存到课程和对应页面，供课后回看。课堂问答与复习路线关联：学生可以将尚未理解的概念加入后续学习活动。不能仅凭课件声称已经获知教师当时的口头解释。</w:t>
      </w:r>
    </w:p>
    <w:p>
      <w:pPr>
        <w:pStyle w:val="Heading2"/>
      </w:pPr>
      <w:r>
        <w:rPr>
          <w:rFonts w:ascii="Calibri" w:hAnsi="Calibri" w:eastAsia="Noto Sans CJK SC"/>
          <w:b w:val="0"/>
          <w:color w:val="000000"/>
        </w:rPr>
        <w:t>4.6 课堂录音与后续分析</w:t>
      </w:r>
    </w:p>
    <w:p>
      <w:r>
        <w:rPr>
          <w:rFonts w:ascii="Calibri" w:hAnsi="Calibri" w:eastAsia="Noto Sans CJK SC"/>
          <w:b w:val="0"/>
          <w:color w:val="000000"/>
        </w:rPr>
        <w:t>学生主动开启麦克风后记录讲座内容，界面显示录音状态和停止入口。录音关联课程，支持本地保存、回听和删除；后续可加入暂停、转写和时间戳。</w:t>
      </w:r>
    </w:p>
    <w:p>
      <w:r>
        <w:rPr>
          <w:rFonts w:ascii="Calibri" w:hAnsi="Calibri" w:eastAsia="Noto Sans CJK SC"/>
          <w:b w:val="0"/>
          <w:color w:val="000000"/>
        </w:rPr>
        <w:t>录音分析规划包括课堂摘要、重点片段、未解决疑问和辅助出题。转写中的术语和公式需允许学生核对；翻页时间与录音时间只用于关联建议，不能自动视为准确的知识对应。麦克风录音与在线视频系统音频属于不同能力，应分别设计和验证。</w:t>
      </w:r>
    </w:p>
    <w:p>
      <w:pPr>
        <w:pStyle w:val="Heading2"/>
      </w:pPr>
      <w:r>
        <w:rPr>
          <w:rFonts w:ascii="Calibri" w:hAnsi="Calibri" w:eastAsia="Noto Sans CJK SC"/>
          <w:b w:val="0"/>
          <w:color w:val="000000"/>
        </w:rPr>
        <w:t>4.7 卡点记录与计划恢复</w:t>
      </w:r>
    </w:p>
    <w:p>
      <w:r>
        <w:rPr>
          <w:rFonts w:ascii="Calibri" w:hAnsi="Calibri" w:eastAsia="Noto Sans CJK SC"/>
          <w:b w:val="0"/>
          <w:color w:val="000000"/>
        </w:rPr>
        <w:t>学生标记卡住时，可以选择概念不理解、要求不清、资料不足、步骤过大或时间不足。平台据此建议补基础、缩小步骤、向教师确认或调整日期，并说明对后续安排的影响。</w:t>
      </w:r>
    </w:p>
    <w:p>
      <w:r>
        <w:rPr>
          <w:rFonts w:ascii="Calibri" w:hAnsi="Calibri" w:eastAsia="Noto Sans CJK SC"/>
          <w:b w:val="0"/>
          <w:color w:val="000000"/>
        </w:rPr>
        <w:t>计划修改由学生确认，保存原安排与修改理由。学习中断不清空已有进度；时间不足时，可优先展示一个能在当前可用时间内开始的步骤。</w:t>
      </w:r>
    </w:p>
    <w:p>
      <w:pPr>
        <w:pStyle w:val="Heading1"/>
      </w:pPr>
      <w:r>
        <w:rPr>
          <w:rFonts w:ascii="Calibri" w:hAnsi="Calibri" w:eastAsia="Noto Sans CJK SC"/>
          <w:b w:val="0"/>
          <w:color w:val="000000"/>
        </w:rPr>
        <w:t>5 交互与学习设计原则</w:t>
      </w:r>
    </w:p>
    <w:p>
      <w:r>
        <w:rPr>
          <w:rFonts w:ascii="Calibri" w:hAnsi="Calibri" w:eastAsia="Noto Sans CJK SC"/>
          <w:b w:val="0"/>
          <w:color w:val="000000"/>
        </w:rPr>
        <w:t>网页以课程身份、当前任务和下一步操作为主要层级，采用简洁配色、明确的分隔和一致的操作方式。手机优先展示关键内容，电脑可展开更多资料和计划信息；时间图在窄屏中允许图内滚动，避免页面整体横向溢出。</w:t>
      </w:r>
    </w:p>
    <w:p>
      <w:r>
        <w:rPr>
          <w:rFonts w:ascii="Calibri" w:hAnsi="Calibri" w:eastAsia="Noto Sans CJK SC"/>
          <w:b w:val="0"/>
          <w:color w:val="000000"/>
        </w:rPr>
        <w:t>反馈应帮助学生理解原因。对错误答案先给提示与来源，再支持重试；对开放问题给出评价依据，避免只返回分数。任务完成不直接转换为“已掌握”，掌握判断需要额外的独立检验。</w:t>
      </w:r>
    </w:p>
    <w:p>
      <w:r>
        <w:rPr>
          <w:rFonts w:ascii="Calibri" w:hAnsi="Calibri" w:eastAsia="Noto Sans CJK SC"/>
          <w:b w:val="0"/>
          <w:color w:val="000000"/>
        </w:rPr>
        <w:t>学习提醒和游戏元素服务于自主节奏。首轮优先采用短活动、可见进度和清晰反馈，排行榜、复杂奖励系统及连续打卡惩罚不列入核心范围。</w:t>
      </w:r>
    </w:p>
    <w:p>
      <w:pPr>
        <w:pStyle w:val="Heading1"/>
      </w:pPr>
      <w:r>
        <w:rPr>
          <w:rFonts w:ascii="Calibri" w:hAnsi="Calibri" w:eastAsia="Noto Sans CJK SC"/>
          <w:b w:val="0"/>
          <w:color w:val="000000"/>
        </w:rPr>
        <w:t>6 整体技术方案</w:t>
      </w:r>
    </w:p>
    <w:p>
      <w:pPr>
        <w:pStyle w:val="Heading2"/>
      </w:pPr>
      <w:r>
        <w:rPr>
          <w:rFonts w:ascii="Calibri" w:hAnsi="Calibri" w:eastAsia="Noto Sans CJK SC"/>
          <w:b w:val="0"/>
          <w:color w:val="000000"/>
        </w:rPr>
        <w:t>6.1 系统形式</w:t>
      </w:r>
    </w:p>
    <w:p>
      <w:r>
        <w:rPr>
          <w:rFonts w:ascii="Calibri" w:hAnsi="Calibri" w:eastAsia="Noto Sans CJK SC"/>
          <w:b w:val="0"/>
          <w:color w:val="000000"/>
        </w:rPr>
        <w:t>建议采用 React 与 TypeScript 构建响应式网页，以 Node.js 作为应用后端，Python 负责文件解析和后续音频处理。通过学校 ELM 接口调用通用模型，无需训练专属大模型；模型和参数根据学校实际提供的能力、响应时间和成本选定。</w:t>
      </w:r>
    </w:p>
    <w:p>
      <w:r>
        <w:rPr>
          <w:rFonts w:ascii="Calibri" w:hAnsi="Calibri" w:eastAsia="Noto Sans CJK SC"/>
          <w:b w:val="0"/>
          <w:color w:val="000000"/>
        </w:rPr>
        <w:t>面向真实用户的版本需配置身份认证、数据库和私有文件存储。数据库保存课程、要求、任务、学习记录及版本信息；文件存储保存课件和获准录音。手机与电脑使用同一账号同步。具体托管服务由团队结合预算与权限确定。</w:t>
      </w:r>
    </w:p>
    <w:p>
      <w:pPr>
        <w:pStyle w:val="Heading2"/>
      </w:pPr>
      <w:r>
        <w:rPr>
          <w:rFonts w:ascii="Calibri" w:hAnsi="Calibri" w:eastAsia="Noto Sans CJK SC"/>
          <w:b w:val="0"/>
          <w:color w:val="000000"/>
        </w:rPr>
        <w:t>6.2 材料与模型处理流程</w:t>
      </w:r>
    </w:p>
    <w:p>
      <w:r>
        <w:rPr>
          <w:rFonts w:ascii="Calibri" w:hAnsi="Calibri" w:eastAsia="Noto Sans CJK SC"/>
          <w:b w:val="0"/>
          <w:color w:val="000000"/>
        </w:rPr>
        <w:t>处理流程为：接收文件 → 解析文字与页序 → 保存来源 → 提取要求或生成学习草稿 → 校验结果 → 学生确认 → 保存任务与学习路线。</w:t>
      </w:r>
    </w:p>
    <w:p>
      <w:r>
        <w:rPr>
          <w:rFonts w:ascii="Calibri" w:hAnsi="Calibri" w:eastAsia="Noto Sans CJK SC"/>
          <w:b w:val="0"/>
          <w:color w:val="000000"/>
        </w:rPr>
        <w:t>模型返回固定结构的数据，由网页组件统一呈现。系统校验必要字段、选项和答案索引、引用是否存在、任务日期及依赖关系。校验通过只说明结果符合结构，内容是否准确仍需来源核对和抽样人工审核。</w:t>
      </w:r>
    </w:p>
    <w:p>
      <w:r>
        <w:rPr>
          <w:rFonts w:ascii="Calibri" w:hAnsi="Calibri" w:eastAsia="Noto Sans CJK SC"/>
          <w:b w:val="0"/>
          <w:color w:val="000000"/>
        </w:rPr>
        <w:t>知识问答先在当前课程及选定材料范围内检索，再向模型提供必要片段。初期可采用词项与术语检索，资料量扩大后评估语义检索和向量索引。材料中的文字作为数据处理，不能改变系统规则或触发任意操作。</w:t>
      </w:r>
    </w:p>
    <w:p>
      <w:pPr>
        <w:pStyle w:val="Heading2"/>
      </w:pPr>
      <w:r>
        <w:rPr>
          <w:rFonts w:ascii="Calibri" w:hAnsi="Calibri" w:eastAsia="Noto Sans CJK SC"/>
          <w:b w:val="0"/>
          <w:color w:val="000000"/>
        </w:rPr>
        <w:t>6.3 数据与版本关系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589"/>
      </w:tblGrid>
      <w:tr>
        <w:trPr>
          <w:cantSplit/>
          <w:tblHeader/>
        </w:trPr>
        <w:tc>
          <w:tcPr>
            <w:tcW w:type="dxa" w:w="2376"/>
            <w:vAlign w:val="center"/>
            <w:tcMar>
              <w:top w:w="100" w:type="dxa"/>
              <w:bottom w:w="100" w:type="dxa"/>
              <w:left w:w="110" w:type="dxa"/>
              <w:right w:w="110" w:type="dxa"/>
            </w:tcMar>
            <w:shd w:fill="EFF1F3"/>
          </w:tcPr>
          <w:p>
            <w:pPr>
              <w:keepNext/>
              <w:spacing w:before="0" w:after="0" w:line="320" w:lineRule="exact"/>
              <w:jc w:val="left"/>
            </w:pPr>
            <w:r>
              <w:rPr>
                <w:rFonts w:ascii="Calibri" w:hAnsi="Calibri" w:eastAsia="Noto Sans CJK SC"/>
                <w:b/>
                <w:color w:val="000000"/>
                <w:sz w:val="22"/>
              </w:rPr>
              <w:t>数据对象</w:t>
            </w:r>
          </w:p>
        </w:tc>
        <w:tc>
          <w:tcPr>
            <w:tcW w:type="dxa" w:w="7589"/>
            <w:vAlign w:val="center"/>
            <w:tcMar>
              <w:top w:w="100" w:type="dxa"/>
              <w:bottom w:w="100" w:type="dxa"/>
              <w:left w:w="110" w:type="dxa"/>
              <w:right w:w="110" w:type="dxa"/>
            </w:tcMar>
            <w:shd w:fill="EFF1F3"/>
          </w:tcPr>
          <w:p>
            <w:pPr>
              <w:keepNext/>
              <w:spacing w:before="0" w:after="0" w:line="320" w:lineRule="exact"/>
              <w:jc w:val="center"/>
            </w:pPr>
            <w:r>
              <w:rPr>
                <w:rFonts w:ascii="Calibri" w:hAnsi="Calibri" w:eastAsia="Noto Sans CJK SC"/>
                <w:b/>
                <w:color w:val="000000"/>
                <w:sz w:val="22"/>
              </w:rPr>
              <w:t>主要作用</w:t>
            </w:r>
          </w:p>
        </w:tc>
      </w:tr>
      <w:tr>
        <w:trPr>
          <w:cantSplit/>
        </w:trPr>
        <w:tc>
          <w:tcPr>
            <w:tcW w:type="dxa" w:w="2376"/>
            <w:vAlign w:val="center"/>
            <w:tcMar>
              <w:top w:w="100" w:type="dxa"/>
              <w:bottom w:w="100" w:type="dxa"/>
              <w:left w:w="110" w:type="dxa"/>
              <w:right w:w="110" w:type="dxa"/>
            </w:tcMar>
          </w:tcPr>
          <w:p>
            <w:pPr>
              <w:keepNext/>
              <w:spacing w:before="0" w:after="0" w:line="320" w:lineRule="exact"/>
              <w:jc w:val="left"/>
            </w:pPr>
            <w:r>
              <w:rPr>
                <w:rFonts w:ascii="Calibri" w:hAnsi="Calibri" w:eastAsia="Noto Sans CJK SC"/>
                <w:b w:val="0"/>
                <w:color w:val="000000"/>
                <w:sz w:val="22"/>
              </w:rPr>
              <w:t>课程与周次</w:t>
            </w:r>
          </w:p>
        </w:tc>
        <w:tc>
          <w:tcPr>
            <w:tcW w:type="dxa" w:w="7589"/>
            <w:vAlign w:val="center"/>
            <w:tcMar>
              <w:top w:w="100" w:type="dxa"/>
              <w:bottom w:w="100" w:type="dxa"/>
              <w:left w:w="110" w:type="dxa"/>
              <w:right w:w="110" w:type="dxa"/>
            </w:tcMar>
          </w:tcPr>
          <w:p>
            <w:pPr>
              <w:keepNext/>
              <w:spacing w:before="0" w:after="0" w:line="320" w:lineRule="exact"/>
              <w:jc w:val="center"/>
            </w:pPr>
            <w:r>
              <w:rPr>
                <w:rFonts w:ascii="Calibri" w:hAnsi="Calibri" w:eastAsia="Noto Sans CJK SC"/>
                <w:b w:val="0"/>
                <w:color w:val="000000"/>
                <w:sz w:val="22"/>
              </w:rPr>
              <w:t>确定学科、课程和材料归属</w:t>
            </w:r>
          </w:p>
        </w:tc>
      </w:tr>
      <w:tr>
        <w:trPr>
          <w:cantSplit/>
        </w:trPr>
        <w:tc>
          <w:tcPr>
            <w:tcW w:type="dxa" w:w="2376"/>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资料与来源引用</w:t>
            </w:r>
          </w:p>
        </w:tc>
        <w:tc>
          <w:tcPr>
            <w:tcW w:type="dxa" w:w="7589"/>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保存文件版本、原文位置和来源片段</w:t>
            </w:r>
          </w:p>
        </w:tc>
      </w:tr>
      <w:tr>
        <w:trPr>
          <w:cantSplit/>
        </w:trPr>
        <w:tc>
          <w:tcPr>
            <w:tcW w:type="dxa" w:w="2376"/>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作业要求与任务步骤</w:t>
            </w:r>
          </w:p>
        </w:tc>
        <w:tc>
          <w:tcPr>
            <w:tcW w:type="dxa" w:w="7589"/>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关联交付要求、依赖、产出、截止日和完成状态</w:t>
            </w:r>
          </w:p>
        </w:tc>
      </w:tr>
      <w:tr>
        <w:trPr>
          <w:cantSplit/>
        </w:trPr>
        <w:tc>
          <w:tcPr>
            <w:tcW w:type="dxa" w:w="2376"/>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学习模块与题目</w:t>
            </w:r>
          </w:p>
        </w:tc>
        <w:tc>
          <w:tcPr>
            <w:tcW w:type="dxa" w:w="7589"/>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保存学习目标、讲解、答案依据和题型</w:t>
            </w:r>
          </w:p>
        </w:tc>
      </w:tr>
      <w:tr>
        <w:trPr>
          <w:cantSplit/>
        </w:trPr>
        <w:tc>
          <w:tcPr>
            <w:tcW w:type="dxa" w:w="2376"/>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作答与复习记录</w:t>
            </w:r>
          </w:p>
        </w:tc>
        <w:tc>
          <w:tcPr>
            <w:tcW w:type="dxa" w:w="7589"/>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保存首次作答、提示使用、错误点和独立检验</w:t>
            </w:r>
          </w:p>
        </w:tc>
      </w:tr>
      <w:tr>
        <w:trPr>
          <w:cantSplit/>
        </w:trPr>
        <w:tc>
          <w:tcPr>
            <w:tcW w:type="dxa" w:w="2376"/>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计划版本与课堂记录</w:t>
            </w:r>
          </w:p>
        </w:tc>
        <w:tc>
          <w:tcPr>
            <w:tcW w:type="dxa" w:w="7589"/>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保存修改理由、疑问、录音及时间戳关联</w:t>
            </w:r>
          </w:p>
        </w:tc>
      </w:tr>
    </w:tbl>
    <w:p>
      <w:pPr>
        <w:spacing w:after="40" w:before="0" w:line="240" w:lineRule="auto"/>
      </w:pPr>
      <w:r>
        <w:rPr>
          <w:rFonts w:ascii="Calibri" w:hAnsi="Calibri" w:eastAsia="Noto Sans CJK SC"/>
          <w:color w:val="000000"/>
          <w:sz w:val="6"/>
        </w:rPr>
      </w:r>
    </w:p>
    <w:p>
      <w:r>
        <w:rPr>
          <w:rFonts w:ascii="Calibri" w:hAnsi="Calibri" w:eastAsia="Noto Sans CJK SC"/>
          <w:b w:val="0"/>
          <w:color w:val="000000"/>
        </w:rPr>
        <w:t>正式服务中的数据访问须同时检查用户身份和课程权限。更新文件或重新生成路线时，应记录版本关系，并说明对既有任务、出处和学习记录的影响。</w:t>
      </w:r>
    </w:p>
    <w:p>
      <w:pPr>
        <w:pStyle w:val="Heading2"/>
      </w:pPr>
      <w:r>
        <w:rPr>
          <w:rFonts w:ascii="Calibri" w:hAnsi="Calibri" w:eastAsia="Noto Sans CJK SC"/>
          <w:b w:val="0"/>
          <w:color w:val="000000"/>
        </w:rPr>
        <w:t>6.4 资源与成本控制</w:t>
      </w:r>
    </w:p>
    <w:p>
      <w:r>
        <w:rPr>
          <w:rFonts w:ascii="Calibri" w:hAnsi="Calibri" w:eastAsia="Noto Sans CJK SC"/>
          <w:b w:val="0"/>
          <w:color w:val="000000"/>
        </w:rPr>
        <w:t>文件解析、转写和模型生成分别记录处理状态，限制文件大小、请求频率和单次生成范围。已确认的结果按用户、课程、文件版本和生成设置缓存，避免每次打开资料都重新请求模型。</w:t>
      </w:r>
    </w:p>
    <w:p>
      <w:r>
        <w:rPr>
          <w:rFonts w:ascii="Calibri" w:hAnsi="Calibri" w:eastAsia="Noto Sans CJK SC"/>
          <w:b w:val="0"/>
          <w:color w:val="000000"/>
        </w:rPr>
        <w:t>模型费用与响应时间需使用实际账户和代表性材料测量，不预设固定单价或速度承诺。任务勾选、日期展示和手动调整由程序完成，无需反复调用模型。请求失败时保留已有内容并提供重试入口。</w:t>
      </w:r>
    </w:p>
    <w:p>
      <w:pPr>
        <w:pStyle w:val="Heading1"/>
      </w:pPr>
      <w:r>
        <w:rPr>
          <w:rFonts w:ascii="Calibri" w:hAnsi="Calibri" w:eastAsia="Noto Sans CJK SC"/>
          <w:b w:val="0"/>
          <w:color w:val="000000"/>
        </w:rPr>
        <w:t>7 功能优先级与交付范围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3888"/>
        <w:gridCol w:w="4162"/>
      </w:tblGrid>
      <w:tr>
        <w:trPr>
          <w:cantSplit/>
          <w:tblHeader/>
        </w:trPr>
        <w:tc>
          <w:tcPr>
            <w:tcW w:type="dxa" w:w="1915"/>
            <w:vAlign w:val="center"/>
            <w:tcMar>
              <w:top w:w="100" w:type="dxa"/>
              <w:bottom w:w="100" w:type="dxa"/>
              <w:left w:w="110" w:type="dxa"/>
              <w:right w:w="110" w:type="dxa"/>
            </w:tcMar>
            <w:shd w:fill="EFF1F3"/>
          </w:tcPr>
          <w:p>
            <w:pPr>
              <w:keepNext/>
              <w:spacing w:before="0" w:after="0" w:line="320" w:lineRule="exact"/>
              <w:jc w:val="left"/>
            </w:pPr>
            <w:r>
              <w:rPr>
                <w:rFonts w:ascii="Calibri" w:hAnsi="Calibri" w:eastAsia="Noto Sans CJK SC"/>
                <w:b/>
                <w:color w:val="000000"/>
                <w:sz w:val="22"/>
              </w:rPr>
              <w:t>优先级</w:t>
            </w:r>
          </w:p>
        </w:tc>
        <w:tc>
          <w:tcPr>
            <w:tcW w:type="dxa" w:w="3888"/>
            <w:vAlign w:val="center"/>
            <w:tcMar>
              <w:top w:w="100" w:type="dxa"/>
              <w:bottom w:w="100" w:type="dxa"/>
              <w:left w:w="110" w:type="dxa"/>
              <w:right w:w="110" w:type="dxa"/>
            </w:tcMar>
            <w:shd w:fill="EFF1F3"/>
          </w:tcPr>
          <w:p>
            <w:pPr>
              <w:keepNext/>
              <w:spacing w:before="0" w:after="0" w:line="320" w:lineRule="exact"/>
              <w:jc w:val="center"/>
            </w:pPr>
            <w:r>
              <w:rPr>
                <w:rFonts w:ascii="Calibri" w:hAnsi="Calibri" w:eastAsia="Noto Sans CJK SC"/>
                <w:b/>
                <w:color w:val="000000"/>
                <w:sz w:val="22"/>
              </w:rPr>
              <w:t>建议范围</w:t>
            </w:r>
          </w:p>
        </w:tc>
        <w:tc>
          <w:tcPr>
            <w:tcW w:type="dxa" w:w="4162"/>
            <w:vAlign w:val="center"/>
            <w:tcMar>
              <w:top w:w="100" w:type="dxa"/>
              <w:bottom w:w="100" w:type="dxa"/>
              <w:left w:w="110" w:type="dxa"/>
              <w:right w:w="110" w:type="dxa"/>
            </w:tcMar>
            <w:shd w:fill="EFF1F3"/>
          </w:tcPr>
          <w:p>
            <w:pPr>
              <w:keepNext/>
              <w:spacing w:before="0" w:after="0" w:line="320" w:lineRule="exact"/>
              <w:jc w:val="center"/>
            </w:pPr>
            <w:r>
              <w:rPr>
                <w:rFonts w:ascii="Calibri" w:hAnsi="Calibri" w:eastAsia="Noto Sans CJK SC"/>
                <w:b/>
                <w:color w:val="000000"/>
                <w:sz w:val="22"/>
              </w:rPr>
              <w:t>阶段交付目标</w:t>
            </w:r>
          </w:p>
        </w:tc>
      </w:tr>
      <w:tr>
        <w:trPr>
          <w:cantSplit/>
        </w:trPr>
        <w:tc>
          <w:tcPr>
            <w:tcW w:type="dxa" w:w="1915"/>
            <w:vAlign w:val="center"/>
            <w:tcMar>
              <w:top w:w="100" w:type="dxa"/>
              <w:bottom w:w="100" w:type="dxa"/>
              <w:left w:w="110" w:type="dxa"/>
              <w:right w:w="110" w:type="dxa"/>
            </w:tcMar>
          </w:tcPr>
          <w:p>
            <w:pPr>
              <w:keepNext/>
              <w:spacing w:before="0" w:after="0" w:line="320" w:lineRule="exact"/>
              <w:jc w:val="left"/>
            </w:pPr>
            <w:r>
              <w:rPr>
                <w:rFonts w:ascii="Calibri" w:hAnsi="Calibri" w:eastAsia="Noto Sans CJK SC"/>
                <w:b w:val="0"/>
                <w:color w:val="000000"/>
                <w:sz w:val="22"/>
              </w:rPr>
              <w:t>P0 核心流程</w:t>
            </w:r>
          </w:p>
        </w:tc>
        <w:tc>
          <w:tcPr>
            <w:tcW w:type="dxa" w:w="3888"/>
            <w:vAlign w:val="center"/>
            <w:tcMar>
              <w:top w:w="100" w:type="dxa"/>
              <w:bottom w:w="100" w:type="dxa"/>
              <w:left w:w="110" w:type="dxa"/>
              <w:right w:w="110" w:type="dxa"/>
            </w:tcMar>
          </w:tcPr>
          <w:p>
            <w:pPr>
              <w:keepNext/>
              <w:spacing w:before="0" w:after="0" w:line="320" w:lineRule="exact"/>
              <w:jc w:val="left"/>
            </w:pPr>
            <w:r>
              <w:rPr>
                <w:rFonts w:ascii="Calibri" w:hAnsi="Calibri" w:eastAsia="Noto Sans CJK SC"/>
                <w:b w:val="0"/>
                <w:color w:val="000000"/>
                <w:sz w:val="22"/>
              </w:rPr>
              <w:t>课程与资料分类、学期总览、每周任务、coursework 要求拆解与确认、课件学习路线、有出处的问答、进度续接</w:t>
            </w:r>
          </w:p>
        </w:tc>
        <w:tc>
          <w:tcPr>
            <w:tcW w:type="dxa" w:w="4162"/>
            <w:vAlign w:val="center"/>
            <w:tcMar>
              <w:top w:w="100" w:type="dxa"/>
              <w:bottom w:w="100" w:type="dxa"/>
              <w:left w:w="110" w:type="dxa"/>
              <w:right w:w="110" w:type="dxa"/>
            </w:tcMar>
          </w:tcPr>
          <w:p>
            <w:pPr>
              <w:keepNext/>
              <w:spacing w:before="0" w:after="0" w:line="320" w:lineRule="exact"/>
              <w:jc w:val="left"/>
            </w:pPr>
            <w:r>
              <w:rPr>
                <w:rFonts w:ascii="Calibri" w:hAnsi="Calibri" w:eastAsia="Noto Sans CJK SC"/>
                <w:b w:val="0"/>
                <w:color w:val="000000"/>
                <w:sz w:val="22"/>
              </w:rPr>
              <w:t>连贯展示材料到行动、学习反馈与计划调整的流程</w:t>
            </w:r>
          </w:p>
        </w:tc>
      </w:tr>
      <w:tr>
        <w:trPr>
          <w:cantSplit/>
        </w:trPr>
        <w:tc>
          <w:tcPr>
            <w:tcW w:type="dxa" w:w="1915"/>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P1 重点扩展</w:t>
            </w:r>
          </w:p>
        </w:tc>
        <w:tc>
          <w:tcPr>
            <w:tcW w:type="dxa" w:w="3888"/>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卡点恢复建议、材料与计划版本管理、课堂录音及转写、基础账户与跨设备同步</w:t>
            </w:r>
          </w:p>
        </w:tc>
        <w:tc>
          <w:tcPr>
            <w:tcW w:type="dxa" w:w="4162"/>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根据资源选择高价值扩展；真实用户上线前完善认证与私有存储</w:t>
            </w:r>
          </w:p>
        </w:tc>
      </w:tr>
      <w:tr>
        <w:trPr>
          <w:cantSplit/>
        </w:trPr>
        <w:tc>
          <w:tcPr>
            <w:tcW w:type="dxa" w:w="1915"/>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P2 后续发展</w:t>
            </w:r>
          </w:p>
        </w:tc>
        <w:tc>
          <w:tcPr>
            <w:tcW w:type="dxa" w:w="3888"/>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开放题评价、教师审核、课程平台对接、跨学科模板、长期复习策略</w:t>
            </w:r>
          </w:p>
        </w:tc>
        <w:tc>
          <w:tcPr>
            <w:tcW w:type="dxa" w:w="4162"/>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在核心需求与内容质量得到验证后逐项扩展</w:t>
            </w:r>
          </w:p>
        </w:tc>
      </w:tr>
    </w:tbl>
    <w:p>
      <w:pPr>
        <w:spacing w:after="40" w:before="0" w:line="240" w:lineRule="auto"/>
      </w:pPr>
      <w:r>
        <w:rPr>
          <w:rFonts w:ascii="Calibri" w:hAnsi="Calibri" w:eastAsia="Noto Sans CJK SC"/>
          <w:color w:val="000000"/>
          <w:sz w:val="6"/>
        </w:rPr>
      </w:r>
    </w:p>
    <w:p>
      <w:r>
        <w:rPr>
          <w:rFonts w:ascii="Calibri" w:hAnsi="Calibri" w:eastAsia="Noto Sans CJK SC"/>
          <w:b w:val="0"/>
          <w:color w:val="000000"/>
        </w:rPr>
        <w:t>参赛阶段建议优先完成一份论文型作业和一份实验或项目型作业的代表性流程，配合对应课件学习。若时间不足，保留完整核心流程，缩减录音分析、平台同步和复杂游戏元素。</w:t>
      </w:r>
    </w:p>
    <w:p>
      <w:r>
        <w:rPr>
          <w:rFonts w:ascii="Calibri" w:hAnsi="Calibri" w:eastAsia="Noto Sans CJK SC"/>
          <w:b w:val="0"/>
          <w:color w:val="000000"/>
        </w:rPr>
        <w:t>专属模型训练、完整替代学校课程平台、自动完成受评作业、预测考试范围和社交排行榜不纳入本轮核心范围。真实用户试用和正式部署前，身份认证与数据保护必须达到相应要求。</w:t>
      </w:r>
    </w:p>
    <w:p>
      <w:pPr>
        <w:pStyle w:val="Heading1"/>
      </w:pPr>
      <w:r>
        <w:rPr>
          <w:rFonts w:ascii="Calibri" w:hAnsi="Calibri" w:eastAsia="Noto Sans CJK SC"/>
          <w:b w:val="0"/>
          <w:color w:val="000000"/>
        </w:rPr>
        <w:t>8 实施计划与团队分工</w:t>
      </w:r>
    </w:p>
    <w:p>
      <w:pPr>
        <w:pStyle w:val="Heading2"/>
      </w:pPr>
      <w:r>
        <w:rPr>
          <w:rFonts w:ascii="Calibri" w:hAnsi="Calibri" w:eastAsia="Noto Sans CJK SC"/>
          <w:b w:val="0"/>
          <w:color w:val="000000"/>
        </w:rPr>
        <w:t>8.1 建议内部计划</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248"/>
        <w:gridCol w:w="4277"/>
      </w:tblGrid>
      <w:tr>
        <w:trPr>
          <w:cantSplit/>
          <w:tblHeader/>
        </w:trPr>
        <w:tc>
          <w:tcPr>
            <w:tcW w:type="dxa" w:w="1440"/>
            <w:vAlign w:val="center"/>
            <w:tcMar>
              <w:top w:w="100" w:type="dxa"/>
              <w:bottom w:w="100" w:type="dxa"/>
              <w:left w:w="110" w:type="dxa"/>
              <w:right w:w="110" w:type="dxa"/>
            </w:tcMar>
            <w:shd w:fill="EFF1F3"/>
          </w:tcPr>
          <w:p>
            <w:pPr>
              <w:keepNext/>
              <w:spacing w:before="0" w:after="0" w:line="320" w:lineRule="exact"/>
              <w:jc w:val="left"/>
            </w:pPr>
            <w:r>
              <w:rPr>
                <w:rFonts w:ascii="Calibri" w:hAnsi="Calibri" w:eastAsia="Noto Sans CJK SC"/>
                <w:b/>
                <w:color w:val="000000"/>
                <w:sz w:val="22"/>
              </w:rPr>
              <w:t>建议时间</w:t>
            </w:r>
          </w:p>
        </w:tc>
        <w:tc>
          <w:tcPr>
            <w:tcW w:type="dxa" w:w="4248"/>
            <w:vAlign w:val="center"/>
            <w:tcMar>
              <w:top w:w="100" w:type="dxa"/>
              <w:bottom w:w="100" w:type="dxa"/>
              <w:left w:w="110" w:type="dxa"/>
              <w:right w:w="110" w:type="dxa"/>
            </w:tcMar>
            <w:shd w:fill="EFF1F3"/>
          </w:tcPr>
          <w:p>
            <w:pPr>
              <w:keepNext/>
              <w:spacing w:before="0" w:after="0" w:line="320" w:lineRule="exact"/>
              <w:jc w:val="center"/>
            </w:pPr>
            <w:r>
              <w:rPr>
                <w:rFonts w:ascii="Calibri" w:hAnsi="Calibri" w:eastAsia="Noto Sans CJK SC"/>
                <w:b/>
                <w:color w:val="000000"/>
                <w:sz w:val="22"/>
              </w:rPr>
              <w:t>主要工作</w:t>
            </w:r>
          </w:p>
        </w:tc>
        <w:tc>
          <w:tcPr>
            <w:tcW w:type="dxa" w:w="4277"/>
            <w:vAlign w:val="center"/>
            <w:tcMar>
              <w:top w:w="100" w:type="dxa"/>
              <w:bottom w:w="100" w:type="dxa"/>
              <w:left w:w="110" w:type="dxa"/>
              <w:right w:w="110" w:type="dxa"/>
            </w:tcMar>
            <w:shd w:fill="EFF1F3"/>
          </w:tcPr>
          <w:p>
            <w:pPr>
              <w:keepNext/>
              <w:spacing w:before="0" w:after="0" w:line="320" w:lineRule="exact"/>
              <w:jc w:val="center"/>
            </w:pPr>
            <w:r>
              <w:rPr>
                <w:rFonts w:ascii="Calibri" w:hAnsi="Calibri" w:eastAsia="Noto Sans CJK SC"/>
                <w:b/>
                <w:color w:val="000000"/>
                <w:sz w:val="22"/>
              </w:rPr>
              <w:t>预期产出</w:t>
            </w:r>
          </w:p>
        </w:tc>
      </w:tr>
      <w:tr>
        <w:trPr>
          <w:cantSplit/>
        </w:trPr>
        <w:tc>
          <w:tcPr>
            <w:tcW w:type="dxa" w:w="1440"/>
            <w:vAlign w:val="center"/>
            <w:tcMar>
              <w:top w:w="100" w:type="dxa"/>
              <w:bottom w:w="100" w:type="dxa"/>
              <w:left w:w="110" w:type="dxa"/>
              <w:right w:w="110" w:type="dxa"/>
            </w:tcMar>
          </w:tcPr>
          <w:p>
            <w:pPr>
              <w:keepNext/>
              <w:spacing w:before="0" w:after="0" w:line="320" w:lineRule="exact"/>
              <w:jc w:val="left"/>
            </w:pPr>
            <w:r>
              <w:rPr>
                <w:rFonts w:ascii="Calibri" w:hAnsi="Calibri" w:eastAsia="Noto Sans CJK SC"/>
                <w:b w:val="0"/>
                <w:color w:val="000000"/>
                <w:sz w:val="22"/>
              </w:rPr>
              <w:t>10 月 18 日至 19 日</w:t>
            </w:r>
          </w:p>
        </w:tc>
        <w:tc>
          <w:tcPr>
            <w:tcW w:type="dxa" w:w="4248"/>
            <w:vAlign w:val="center"/>
            <w:tcMar>
              <w:top w:w="100" w:type="dxa"/>
              <w:bottom w:w="100" w:type="dxa"/>
              <w:left w:w="110" w:type="dxa"/>
              <w:right w:w="110" w:type="dxa"/>
            </w:tcMar>
          </w:tcPr>
          <w:p>
            <w:pPr>
              <w:keepNext/>
              <w:spacing w:before="0" w:after="0" w:line="320" w:lineRule="exact"/>
              <w:jc w:val="left"/>
            </w:pPr>
            <w:r>
              <w:rPr>
                <w:rFonts w:ascii="Calibri" w:hAnsi="Calibri" w:eastAsia="Noto Sans CJK SC"/>
                <w:b w:val="0"/>
                <w:color w:val="000000"/>
                <w:sz w:val="22"/>
              </w:rPr>
              <w:t>确认核心范围、代表性材料和分工；核对并完成团队注册</w:t>
            </w:r>
          </w:p>
        </w:tc>
        <w:tc>
          <w:tcPr>
            <w:tcW w:type="dxa" w:w="4277"/>
            <w:vAlign w:val="center"/>
            <w:tcMar>
              <w:top w:w="100" w:type="dxa"/>
              <w:bottom w:w="100" w:type="dxa"/>
              <w:left w:w="110" w:type="dxa"/>
              <w:right w:w="110" w:type="dxa"/>
            </w:tcMar>
          </w:tcPr>
          <w:p>
            <w:pPr>
              <w:keepNext/>
              <w:spacing w:before="0" w:after="0" w:line="320" w:lineRule="exact"/>
              <w:jc w:val="left"/>
            </w:pPr>
            <w:r>
              <w:rPr>
                <w:rFonts w:ascii="Calibri" w:hAnsi="Calibri" w:eastAsia="Noto Sans CJK SC"/>
                <w:b w:val="0"/>
                <w:color w:val="000000"/>
                <w:sz w:val="22"/>
              </w:rPr>
              <w:t>功能优先级、用户流程、任务负责人、注册信息</w:t>
            </w:r>
          </w:p>
        </w:tc>
      </w:tr>
      <w:tr>
        <w:trPr>
          <w:cantSplit/>
        </w:trPr>
        <w:tc>
          <w:tcPr>
            <w:tcW w:type="dxa" w:w="1440"/>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10 月 20 日至 22 日</w:t>
            </w:r>
          </w:p>
        </w:tc>
        <w:tc>
          <w:tcPr>
            <w:tcW w:type="dxa" w:w="4248"/>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推进核心流程、内容审核及接口与数据路径检查</w:t>
            </w:r>
          </w:p>
        </w:tc>
        <w:tc>
          <w:tcPr>
            <w:tcW w:type="dxa" w:w="4277"/>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可操作的核心流程、内容样本、问题清单</w:t>
            </w:r>
          </w:p>
        </w:tc>
      </w:tr>
      <w:tr>
        <w:trPr>
          <w:cantSplit/>
        </w:trPr>
        <w:tc>
          <w:tcPr>
            <w:tcW w:type="dxa" w:w="1440"/>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10 月 23 日至 25 日</w:t>
            </w:r>
          </w:p>
        </w:tc>
        <w:tc>
          <w:tcPr>
            <w:tcW w:type="dxa" w:w="4248"/>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小范围试用、问题修正、整理三页报告与演示材料</w:t>
            </w:r>
          </w:p>
        </w:tc>
        <w:tc>
          <w:tcPr>
            <w:tcW w:type="dxa" w:w="4277"/>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修订记录、提交材料、演示脚本与限制说明</w:t>
            </w:r>
          </w:p>
        </w:tc>
      </w:tr>
      <w:tr>
        <w:trPr>
          <w:cantSplit/>
        </w:trPr>
        <w:tc>
          <w:tcPr>
            <w:tcW w:type="dxa" w:w="1440"/>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10 月 26 日</w:t>
            </w:r>
          </w:p>
        </w:tc>
        <w:tc>
          <w:tcPr>
            <w:tcW w:type="dxa" w:w="4248"/>
            <w:vAlign w:val="center"/>
            <w:tcMar>
              <w:top w:w="100" w:type="dxa"/>
              <w:bottom w:w="100" w:type="dxa"/>
              <w:left w:w="110" w:type="dxa"/>
              <w:right w:w="110" w:type="dxa"/>
            </w:tcMar>
          </w:tcPr>
          <w:p>
            <w:pPr>
              <w:keepNext w:val="0"/>
              <w:spacing w:before="0" w:after="0" w:line="320" w:lineRule="exact"/>
              <w:jc w:val="center"/>
            </w:pPr>
            <w:r>
              <w:rPr>
                <w:rFonts w:ascii="Calibri" w:hAnsi="Calibri" w:eastAsia="Noto Sans CJK SC"/>
                <w:b w:val="0"/>
                <w:color w:val="000000"/>
                <w:sz w:val="22"/>
              </w:rPr>
              <w:t>最终核对并提前提交</w:t>
            </w:r>
          </w:p>
        </w:tc>
        <w:tc>
          <w:tcPr>
            <w:tcW w:type="dxa" w:w="4277"/>
            <w:vAlign w:val="center"/>
            <w:tcMar>
              <w:top w:w="100" w:type="dxa"/>
              <w:bottom w:w="100" w:type="dxa"/>
              <w:left w:w="110" w:type="dxa"/>
              <w:right w:w="110" w:type="dxa"/>
            </w:tcMar>
          </w:tcPr>
          <w:p>
            <w:pPr>
              <w:keepNext w:val="0"/>
              <w:spacing w:before="0" w:after="0" w:line="320" w:lineRule="exact"/>
              <w:jc w:val="center"/>
            </w:pPr>
            <w:r>
              <w:rPr>
                <w:rFonts w:ascii="Calibri" w:hAnsi="Calibri" w:eastAsia="Noto Sans CJK SC"/>
                <w:b w:val="0"/>
                <w:color w:val="000000"/>
                <w:sz w:val="22"/>
              </w:rPr>
              <w:t>提交确认及材料存档</w:t>
            </w:r>
          </w:p>
        </w:tc>
      </w:tr>
    </w:tbl>
    <w:p>
      <w:pPr>
        <w:spacing w:after="40" w:before="0" w:line="240" w:lineRule="auto"/>
      </w:pPr>
      <w:r>
        <w:rPr>
          <w:rFonts w:ascii="Calibri" w:hAnsi="Calibri" w:eastAsia="Noto Sans CJK SC"/>
          <w:color w:val="000000"/>
          <w:sz w:val="6"/>
        </w:rPr>
      </w:r>
    </w:p>
    <w:p>
      <w:r>
        <w:rPr>
          <w:rFonts w:ascii="Calibri" w:hAnsi="Calibri" w:eastAsia="Noto Sans CJK SC"/>
          <w:b w:val="0"/>
          <w:color w:val="000000"/>
        </w:rPr>
        <w:t>内部日期可随团队可用时间调整。用户研究需遵循适用的课程或学校审批要求；未具备条件时，先完成团队内部的内容审查和任务走查。</w:t>
      </w:r>
    </w:p>
    <w:p>
      <w:pPr>
        <w:pStyle w:val="Heading2"/>
      </w:pPr>
      <w:r>
        <w:rPr>
          <w:rFonts w:ascii="Calibri" w:hAnsi="Calibri" w:eastAsia="Noto Sans CJK SC"/>
          <w:b w:val="0"/>
          <w:color w:val="000000"/>
        </w:rPr>
        <w:t>8.2 建议角色分工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248"/>
        <w:gridCol w:w="4277"/>
      </w:tblGrid>
      <w:tr>
        <w:trPr>
          <w:cantSplit/>
          <w:tblHeader/>
        </w:trPr>
        <w:tc>
          <w:tcPr>
            <w:tcW w:type="dxa" w:w="1440"/>
            <w:vAlign w:val="center"/>
            <w:tcMar>
              <w:top w:w="100" w:type="dxa"/>
              <w:bottom w:w="100" w:type="dxa"/>
              <w:left w:w="110" w:type="dxa"/>
              <w:right w:w="110" w:type="dxa"/>
            </w:tcMar>
            <w:shd w:fill="EFF1F3"/>
          </w:tcPr>
          <w:p>
            <w:pPr>
              <w:keepNext/>
              <w:spacing w:before="0" w:after="0" w:line="320" w:lineRule="exact"/>
              <w:jc w:val="left"/>
            </w:pPr>
            <w:r>
              <w:rPr>
                <w:rFonts w:ascii="Calibri" w:hAnsi="Calibri" w:eastAsia="Noto Sans CJK SC"/>
                <w:b/>
                <w:color w:val="000000"/>
                <w:sz w:val="22"/>
              </w:rPr>
              <w:t>角色</w:t>
            </w:r>
          </w:p>
        </w:tc>
        <w:tc>
          <w:tcPr>
            <w:tcW w:type="dxa" w:w="4248"/>
            <w:vAlign w:val="center"/>
            <w:tcMar>
              <w:top w:w="100" w:type="dxa"/>
              <w:bottom w:w="100" w:type="dxa"/>
              <w:left w:w="110" w:type="dxa"/>
              <w:right w:w="110" w:type="dxa"/>
            </w:tcMar>
            <w:shd w:fill="EFF1F3"/>
          </w:tcPr>
          <w:p>
            <w:pPr>
              <w:keepNext/>
              <w:spacing w:before="0" w:after="0" w:line="320" w:lineRule="exact"/>
              <w:jc w:val="center"/>
            </w:pPr>
            <w:r>
              <w:rPr>
                <w:rFonts w:ascii="Calibri" w:hAnsi="Calibri" w:eastAsia="Noto Sans CJK SC"/>
                <w:b/>
                <w:color w:val="000000"/>
                <w:sz w:val="22"/>
              </w:rPr>
              <w:t>主要责任</w:t>
            </w:r>
          </w:p>
        </w:tc>
        <w:tc>
          <w:tcPr>
            <w:tcW w:type="dxa" w:w="4277"/>
            <w:vAlign w:val="center"/>
            <w:tcMar>
              <w:top w:w="100" w:type="dxa"/>
              <w:bottom w:w="100" w:type="dxa"/>
              <w:left w:w="110" w:type="dxa"/>
              <w:right w:w="110" w:type="dxa"/>
            </w:tcMar>
            <w:shd w:fill="EFF1F3"/>
          </w:tcPr>
          <w:p>
            <w:pPr>
              <w:keepNext/>
              <w:spacing w:before="0" w:after="0" w:line="320" w:lineRule="exact"/>
              <w:jc w:val="center"/>
            </w:pPr>
            <w:r>
              <w:rPr>
                <w:rFonts w:ascii="Calibri" w:hAnsi="Calibri" w:eastAsia="Noto Sans CJK SC"/>
                <w:b/>
                <w:color w:val="000000"/>
                <w:sz w:val="22"/>
              </w:rPr>
              <w:t>交付内容</w:t>
            </w:r>
          </w:p>
        </w:tc>
      </w:tr>
      <w:tr>
        <w:trPr>
          <w:cantSplit/>
        </w:trPr>
        <w:tc>
          <w:tcPr>
            <w:tcW w:type="dxa" w:w="1440"/>
            <w:vAlign w:val="center"/>
            <w:tcMar>
              <w:top w:w="100" w:type="dxa"/>
              <w:bottom w:w="100" w:type="dxa"/>
              <w:left w:w="110" w:type="dxa"/>
              <w:right w:w="110" w:type="dxa"/>
            </w:tcMar>
          </w:tcPr>
          <w:p>
            <w:pPr>
              <w:keepNext/>
              <w:spacing w:before="0" w:after="0" w:line="320" w:lineRule="exact"/>
              <w:jc w:val="left"/>
            </w:pPr>
            <w:r>
              <w:rPr>
                <w:rFonts w:ascii="Calibri" w:hAnsi="Calibri" w:eastAsia="Noto Sans CJK SC"/>
                <w:b w:val="0"/>
                <w:color w:val="000000"/>
                <w:sz w:val="22"/>
              </w:rPr>
              <w:t>产品与前端</w:t>
            </w:r>
          </w:p>
        </w:tc>
        <w:tc>
          <w:tcPr>
            <w:tcW w:type="dxa" w:w="4248"/>
            <w:vAlign w:val="center"/>
            <w:tcMar>
              <w:top w:w="100" w:type="dxa"/>
              <w:bottom w:w="100" w:type="dxa"/>
              <w:left w:w="110" w:type="dxa"/>
              <w:right w:w="110" w:type="dxa"/>
            </w:tcMar>
          </w:tcPr>
          <w:p>
            <w:pPr>
              <w:keepNext/>
              <w:spacing w:before="0" w:after="0" w:line="320" w:lineRule="exact"/>
              <w:jc w:val="left"/>
            </w:pPr>
            <w:r>
              <w:rPr>
                <w:rFonts w:ascii="Calibri" w:hAnsi="Calibri" w:eastAsia="Noto Sans CJK SC"/>
                <w:b w:val="0"/>
                <w:color w:val="000000"/>
                <w:sz w:val="22"/>
              </w:rPr>
              <w:t>用户流程、首页与资料界面、手机操作、交互一致性</w:t>
            </w:r>
          </w:p>
        </w:tc>
        <w:tc>
          <w:tcPr>
            <w:tcW w:type="dxa" w:w="4277"/>
            <w:vAlign w:val="center"/>
            <w:tcMar>
              <w:top w:w="100" w:type="dxa"/>
              <w:bottom w:w="100" w:type="dxa"/>
              <w:left w:w="110" w:type="dxa"/>
              <w:right w:w="110" w:type="dxa"/>
            </w:tcMar>
          </w:tcPr>
          <w:p>
            <w:pPr>
              <w:keepNext/>
              <w:spacing w:before="0" w:after="0" w:line="320" w:lineRule="exact"/>
              <w:jc w:val="center"/>
            </w:pPr>
            <w:r>
              <w:rPr>
                <w:rFonts w:ascii="Calibri" w:hAnsi="Calibri" w:eastAsia="Noto Sans CJK SC"/>
                <w:b w:val="0"/>
                <w:color w:val="000000"/>
                <w:sz w:val="22"/>
              </w:rPr>
              <w:t>界面与交互规范、可操作网页</w:t>
            </w:r>
          </w:p>
        </w:tc>
      </w:tr>
      <w:tr>
        <w:trPr>
          <w:cantSplit/>
        </w:trPr>
        <w:tc>
          <w:tcPr>
            <w:tcW w:type="dxa" w:w="1440"/>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后端与 AI</w:t>
            </w:r>
          </w:p>
        </w:tc>
        <w:tc>
          <w:tcPr>
            <w:tcW w:type="dxa" w:w="4248"/>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文件处理、ELM 接口、结构校验、来源检索、权限和存储</w:t>
            </w:r>
          </w:p>
        </w:tc>
        <w:tc>
          <w:tcPr>
            <w:tcW w:type="dxa" w:w="4277"/>
            <w:vAlign w:val="center"/>
            <w:tcMar>
              <w:top w:w="100" w:type="dxa"/>
              <w:bottom w:w="100" w:type="dxa"/>
              <w:left w:w="110" w:type="dxa"/>
              <w:right w:w="110" w:type="dxa"/>
            </w:tcMar>
          </w:tcPr>
          <w:p>
            <w:pPr>
              <w:keepNext w:val="0"/>
              <w:spacing w:before="0" w:after="0" w:line="320" w:lineRule="exact"/>
              <w:jc w:val="center"/>
            </w:pPr>
            <w:r>
              <w:rPr>
                <w:rFonts w:ascii="Calibri" w:hAnsi="Calibri" w:eastAsia="Noto Sans CJK SC"/>
                <w:b w:val="0"/>
                <w:color w:val="000000"/>
                <w:sz w:val="22"/>
              </w:rPr>
              <w:t>服务接口、数据结构、错误处理</w:t>
            </w:r>
          </w:p>
        </w:tc>
      </w:tr>
      <w:tr>
        <w:trPr>
          <w:cantSplit/>
        </w:trPr>
        <w:tc>
          <w:tcPr>
            <w:tcW w:type="dxa" w:w="1440"/>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教学内容与评估</w:t>
            </w:r>
          </w:p>
        </w:tc>
        <w:tc>
          <w:tcPr>
            <w:tcW w:type="dxa" w:w="4248"/>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代表性材料、要求拆解审核、题目与解释检查</w:t>
            </w:r>
          </w:p>
        </w:tc>
        <w:tc>
          <w:tcPr>
            <w:tcW w:type="dxa" w:w="4277"/>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内容样本、审核记录、学习检查设计</w:t>
            </w:r>
          </w:p>
        </w:tc>
      </w:tr>
      <w:tr>
        <w:trPr>
          <w:cantSplit/>
        </w:trPr>
        <w:tc>
          <w:tcPr>
            <w:tcW w:type="dxa" w:w="1440"/>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研究与参赛交付</w:t>
            </w:r>
          </w:p>
        </w:tc>
        <w:tc>
          <w:tcPr>
            <w:tcW w:type="dxa" w:w="4248"/>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需求验证、试用组织、风险说明、报告与演示整合</w:t>
            </w:r>
          </w:p>
        </w:tc>
        <w:tc>
          <w:tcPr>
            <w:tcW w:type="dxa" w:w="4277"/>
            <w:vAlign w:val="center"/>
            <w:tcMar>
              <w:top w:w="100" w:type="dxa"/>
              <w:bottom w:w="100" w:type="dxa"/>
              <w:left w:w="110" w:type="dxa"/>
              <w:right w:w="110" w:type="dxa"/>
            </w:tcMar>
          </w:tcPr>
          <w:p>
            <w:pPr>
              <w:keepNext w:val="0"/>
              <w:spacing w:before="0" w:after="0" w:line="320" w:lineRule="exact"/>
              <w:jc w:val="center"/>
            </w:pPr>
            <w:r>
              <w:rPr>
                <w:rFonts w:ascii="Calibri" w:hAnsi="Calibri" w:eastAsia="Noto Sans CJK SC"/>
                <w:b w:val="0"/>
                <w:color w:val="000000"/>
                <w:sz w:val="22"/>
              </w:rPr>
              <w:t>研究记录、三页报告、演示材料</w:t>
            </w:r>
          </w:p>
        </w:tc>
      </w:tr>
    </w:tbl>
    <w:p>
      <w:pPr>
        <w:spacing w:after="40" w:before="0" w:line="240" w:lineRule="auto"/>
      </w:pPr>
      <w:r>
        <w:rPr>
          <w:rFonts w:ascii="Calibri" w:hAnsi="Calibri" w:eastAsia="Noto Sans CJK SC"/>
          <w:color w:val="000000"/>
          <w:sz w:val="6"/>
        </w:rPr>
      </w:r>
    </w:p>
    <w:p>
      <w:r>
        <w:rPr>
          <w:rFonts w:ascii="Calibri" w:hAnsi="Calibri" w:eastAsia="Noto Sans CJK SC"/>
          <w:b w:val="0"/>
          <w:color w:val="000000"/>
        </w:rPr>
        <w:t>角色可由同一组员兼任。团队应为每项工作明确负责人、协作人、完成日期和验收方式，避免只有功能清单而没有执行责任。</w:t>
      </w:r>
    </w:p>
    <w:p>
      <w:pPr>
        <w:pStyle w:val="Heading2"/>
      </w:pPr>
      <w:r>
        <w:rPr>
          <w:rFonts w:ascii="Calibri" w:hAnsi="Calibri" w:eastAsia="Noto Sans CJK SC"/>
          <w:b w:val="0"/>
          <w:color w:val="000000"/>
        </w:rPr>
        <w:t>8.3 官方参赛节点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589"/>
      </w:tblGrid>
      <w:tr>
        <w:trPr>
          <w:cantSplit/>
          <w:tblHeader/>
        </w:trPr>
        <w:tc>
          <w:tcPr>
            <w:tcW w:type="dxa" w:w="2376"/>
            <w:vAlign w:val="center"/>
            <w:tcMar>
              <w:top w:w="100" w:type="dxa"/>
              <w:bottom w:w="100" w:type="dxa"/>
              <w:left w:w="110" w:type="dxa"/>
              <w:right w:w="110" w:type="dxa"/>
            </w:tcMar>
            <w:shd w:fill="EFF1F3"/>
          </w:tcPr>
          <w:p>
            <w:pPr>
              <w:keepNext/>
              <w:spacing w:before="0" w:after="0" w:line="320" w:lineRule="exact"/>
              <w:jc w:val="left"/>
            </w:pPr>
            <w:r>
              <w:rPr>
                <w:rFonts w:ascii="Calibri" w:hAnsi="Calibri" w:eastAsia="Noto Sans CJK SC"/>
                <w:b/>
                <w:color w:val="000000"/>
                <w:sz w:val="22"/>
              </w:rPr>
              <w:t>官方节点</w:t>
            </w:r>
          </w:p>
        </w:tc>
        <w:tc>
          <w:tcPr>
            <w:tcW w:type="dxa" w:w="7589"/>
            <w:vAlign w:val="center"/>
            <w:tcMar>
              <w:top w:w="100" w:type="dxa"/>
              <w:bottom w:w="100" w:type="dxa"/>
              <w:left w:w="110" w:type="dxa"/>
              <w:right w:w="110" w:type="dxa"/>
            </w:tcMar>
            <w:shd w:fill="EFF1F3"/>
          </w:tcPr>
          <w:p>
            <w:pPr>
              <w:keepNext/>
              <w:spacing w:before="0" w:after="0" w:line="320" w:lineRule="exact"/>
              <w:jc w:val="center"/>
            </w:pPr>
            <w:r>
              <w:rPr>
                <w:rFonts w:ascii="Calibri" w:hAnsi="Calibri" w:eastAsia="Noto Sans CJK SC"/>
                <w:b/>
                <w:color w:val="000000"/>
                <w:sz w:val="22"/>
              </w:rPr>
              <w:t>官方公布时间</w:t>
            </w:r>
          </w:p>
        </w:tc>
      </w:tr>
      <w:tr>
        <w:trPr>
          <w:cantSplit/>
        </w:trPr>
        <w:tc>
          <w:tcPr>
            <w:tcW w:type="dxa" w:w="2376"/>
            <w:vAlign w:val="center"/>
            <w:tcMar>
              <w:top w:w="100" w:type="dxa"/>
              <w:bottom w:w="100" w:type="dxa"/>
              <w:left w:w="110" w:type="dxa"/>
              <w:right w:w="110" w:type="dxa"/>
            </w:tcMar>
          </w:tcPr>
          <w:p>
            <w:pPr>
              <w:keepNext/>
              <w:spacing w:before="0" w:after="0" w:line="320" w:lineRule="exact"/>
              <w:jc w:val="left"/>
            </w:pPr>
            <w:r>
              <w:rPr>
                <w:rFonts w:ascii="Calibri" w:hAnsi="Calibri" w:eastAsia="Noto Sans CJK SC"/>
                <w:b w:val="0"/>
                <w:color w:val="000000"/>
                <w:sz w:val="22"/>
              </w:rPr>
              <w:t>团队注册截止</w:t>
            </w:r>
          </w:p>
        </w:tc>
        <w:tc>
          <w:tcPr>
            <w:tcW w:type="dxa" w:w="7589"/>
            <w:vAlign w:val="center"/>
            <w:tcMar>
              <w:top w:w="100" w:type="dxa"/>
              <w:bottom w:w="100" w:type="dxa"/>
              <w:left w:w="110" w:type="dxa"/>
              <w:right w:w="110" w:type="dxa"/>
            </w:tcMar>
          </w:tcPr>
          <w:p>
            <w:pPr>
              <w:keepNext/>
              <w:spacing w:before="0" w:after="0" w:line="320" w:lineRule="exact"/>
              <w:jc w:val="left"/>
            </w:pPr>
            <w:r>
              <w:rPr>
                <w:rFonts w:ascii="Calibri" w:hAnsi="Calibri" w:eastAsia="Noto Sans CJK SC"/>
                <w:b w:val="0"/>
                <w:color w:val="000000"/>
                <w:sz w:val="22"/>
              </w:rPr>
              <w:t>2026 年 10 月 19 日 23:59</w:t>
            </w:r>
          </w:p>
        </w:tc>
      </w:tr>
      <w:tr>
        <w:trPr>
          <w:cantSplit/>
        </w:trPr>
        <w:tc>
          <w:tcPr>
            <w:tcW w:type="dxa" w:w="2376"/>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项目提交截止</w:t>
            </w:r>
          </w:p>
        </w:tc>
        <w:tc>
          <w:tcPr>
            <w:tcW w:type="dxa" w:w="7589"/>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2026 年 10 月 26 日 23:59</w:t>
            </w:r>
          </w:p>
        </w:tc>
      </w:tr>
      <w:tr>
        <w:trPr>
          <w:cantSplit/>
        </w:trPr>
        <w:tc>
          <w:tcPr>
            <w:tcW w:type="dxa" w:w="2376"/>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入围通知</w:t>
            </w:r>
          </w:p>
        </w:tc>
        <w:tc>
          <w:tcPr>
            <w:tcW w:type="dxa" w:w="7589"/>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2026 年 10 月 29 日 12:00</w:t>
            </w:r>
          </w:p>
        </w:tc>
      </w:tr>
      <w:tr>
        <w:trPr>
          <w:cantSplit/>
        </w:trPr>
        <w:tc>
          <w:tcPr>
            <w:tcW w:type="dxa" w:w="2376"/>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入围展示与闭幕</w:t>
            </w:r>
          </w:p>
        </w:tc>
        <w:tc>
          <w:tcPr>
            <w:tcW w:type="dxa" w:w="7589"/>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2026 年 11 月 2 日 12:00 至 15:00</w:t>
            </w:r>
          </w:p>
        </w:tc>
      </w:tr>
    </w:tbl>
    <w:p>
      <w:pPr>
        <w:spacing w:after="40" w:before="0" w:line="240" w:lineRule="auto"/>
      </w:pPr>
      <w:r>
        <w:rPr>
          <w:rFonts w:ascii="Calibri" w:hAnsi="Calibri" w:eastAsia="Noto Sans CJK SC"/>
          <w:color w:val="000000"/>
          <w:sz w:val="6"/>
        </w:rPr>
      </w:r>
    </w:p>
    <w:p>
      <w:r>
        <w:rPr>
          <w:rFonts w:ascii="Calibri" w:hAnsi="Calibri" w:eastAsia="Noto Sans CJK SC"/>
          <w:b w:val="0"/>
          <w:color w:val="000000"/>
        </w:rPr>
        <w:t>节点依据官方开场说明第 9 页。官方要求提交三页报告，功能原型、代码、Figma、视频或在线展示可选但强烈鼓励；评审关注影响范围与价值、可行性、伦理及适当使用、演示与完成路径。[1] 本文为组内完整规划，提交前应另整理为官方报告格式。</w:t>
      </w:r>
    </w:p>
    <w:p>
      <w:r>
        <w:rPr>
          <w:rFonts w:ascii="Calibri" w:hAnsi="Calibri" w:eastAsia="Noto Sans CJK SC"/>
          <w:b w:val="0"/>
          <w:color w:val="000000"/>
        </w:rPr>
        <w:t>官方 PDF 未注明上述时间的时区，报名和提交以主办方最新通知及表单为准。团队注册表和报告模板列于参考资料，注册与提交责任人需由组内确认。</w:t>
      </w:r>
    </w:p>
    <w:p>
      <w:pPr>
        <w:pStyle w:val="Heading1"/>
      </w:pPr>
      <w:r>
        <w:rPr>
          <w:rFonts w:ascii="Calibri" w:hAnsi="Calibri" w:eastAsia="Noto Sans CJK SC"/>
          <w:b w:val="0"/>
          <w:color w:val="000000"/>
        </w:rPr>
        <w:t>9 评估计划与验收标准</w:t>
      </w:r>
    </w:p>
    <w:p>
      <w:r>
        <w:rPr>
          <w:rFonts w:ascii="Calibri" w:hAnsi="Calibri" w:eastAsia="Noto Sans CJK SC"/>
          <w:b w:val="0"/>
          <w:color w:val="000000"/>
        </w:rPr>
        <w:t>评估分为内容质量、使用体验和学习效果三个层次。初期以少量不同学科的试用与人工审核发现问题，不将小样本体验反馈解释为普遍提分效果。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3888"/>
        <w:gridCol w:w="4162"/>
      </w:tblGrid>
      <w:tr>
        <w:trPr>
          <w:cantSplit/>
          <w:tblHeader/>
        </w:trPr>
        <w:tc>
          <w:tcPr>
            <w:tcW w:type="dxa" w:w="1915"/>
            <w:vAlign w:val="center"/>
            <w:tcMar>
              <w:top w:w="100" w:type="dxa"/>
              <w:bottom w:w="100" w:type="dxa"/>
              <w:left w:w="110" w:type="dxa"/>
              <w:right w:w="110" w:type="dxa"/>
            </w:tcMar>
            <w:shd w:fill="EFF1F3"/>
          </w:tcPr>
          <w:p>
            <w:pPr>
              <w:keepNext/>
              <w:spacing w:before="0" w:after="0" w:line="320" w:lineRule="exact"/>
              <w:jc w:val="left"/>
            </w:pPr>
            <w:r>
              <w:rPr>
                <w:rFonts w:ascii="Calibri" w:hAnsi="Calibri" w:eastAsia="Noto Sans CJK SC"/>
                <w:b/>
                <w:color w:val="000000"/>
                <w:sz w:val="22"/>
              </w:rPr>
              <w:t>评估对象</w:t>
            </w:r>
          </w:p>
        </w:tc>
        <w:tc>
          <w:tcPr>
            <w:tcW w:type="dxa" w:w="3888"/>
            <w:vAlign w:val="center"/>
            <w:tcMar>
              <w:top w:w="100" w:type="dxa"/>
              <w:bottom w:w="100" w:type="dxa"/>
              <w:left w:w="110" w:type="dxa"/>
              <w:right w:w="110" w:type="dxa"/>
            </w:tcMar>
            <w:shd w:fill="EFF1F3"/>
          </w:tcPr>
          <w:p>
            <w:pPr>
              <w:keepNext/>
              <w:spacing w:before="0" w:after="0" w:line="320" w:lineRule="exact"/>
              <w:jc w:val="center"/>
            </w:pPr>
            <w:r>
              <w:rPr>
                <w:rFonts w:ascii="Calibri" w:hAnsi="Calibri" w:eastAsia="Noto Sans CJK SC"/>
                <w:b/>
                <w:color w:val="000000"/>
                <w:sz w:val="22"/>
              </w:rPr>
              <w:t>建议方法</w:t>
            </w:r>
          </w:p>
        </w:tc>
        <w:tc>
          <w:tcPr>
            <w:tcW w:type="dxa" w:w="4162"/>
            <w:vAlign w:val="center"/>
            <w:tcMar>
              <w:top w:w="100" w:type="dxa"/>
              <w:bottom w:w="100" w:type="dxa"/>
              <w:left w:w="110" w:type="dxa"/>
              <w:right w:w="110" w:type="dxa"/>
            </w:tcMar>
            <w:shd w:fill="EFF1F3"/>
          </w:tcPr>
          <w:p>
            <w:pPr>
              <w:keepNext/>
              <w:spacing w:before="0" w:after="0" w:line="320" w:lineRule="exact"/>
              <w:jc w:val="center"/>
            </w:pPr>
            <w:r>
              <w:rPr>
                <w:rFonts w:ascii="Calibri" w:hAnsi="Calibri" w:eastAsia="Noto Sans CJK SC"/>
                <w:b/>
                <w:color w:val="000000"/>
                <w:sz w:val="22"/>
              </w:rPr>
              <w:t>验收关注点</w:t>
            </w:r>
          </w:p>
        </w:tc>
      </w:tr>
      <w:tr>
        <w:trPr>
          <w:cantSplit/>
        </w:trPr>
        <w:tc>
          <w:tcPr>
            <w:tcW w:type="dxa" w:w="1915"/>
            <w:vAlign w:val="center"/>
            <w:tcMar>
              <w:top w:w="100" w:type="dxa"/>
              <w:bottom w:w="100" w:type="dxa"/>
              <w:left w:w="110" w:type="dxa"/>
              <w:right w:w="110" w:type="dxa"/>
            </w:tcMar>
          </w:tcPr>
          <w:p>
            <w:pPr>
              <w:keepNext/>
              <w:spacing w:before="0" w:after="0" w:line="320" w:lineRule="exact"/>
              <w:jc w:val="left"/>
            </w:pPr>
            <w:r>
              <w:rPr>
                <w:rFonts w:ascii="Calibri" w:hAnsi="Calibri" w:eastAsia="Noto Sans CJK SC"/>
                <w:b w:val="0"/>
                <w:color w:val="000000"/>
                <w:sz w:val="22"/>
              </w:rPr>
              <w:t>要求拆解</w:t>
            </w:r>
          </w:p>
        </w:tc>
        <w:tc>
          <w:tcPr>
            <w:tcW w:type="dxa" w:w="3888"/>
            <w:vAlign w:val="center"/>
            <w:tcMar>
              <w:top w:w="100" w:type="dxa"/>
              <w:bottom w:w="100" w:type="dxa"/>
              <w:left w:w="110" w:type="dxa"/>
              <w:right w:w="110" w:type="dxa"/>
            </w:tcMar>
          </w:tcPr>
          <w:p>
            <w:pPr>
              <w:keepNext/>
              <w:spacing w:before="0" w:after="0" w:line="320" w:lineRule="exact"/>
              <w:jc w:val="left"/>
            </w:pPr>
            <w:r>
              <w:rPr>
                <w:rFonts w:ascii="Calibri" w:hAnsi="Calibri" w:eastAsia="Noto Sans CJK SC"/>
                <w:b w:val="0"/>
                <w:color w:val="000000"/>
                <w:sz w:val="22"/>
              </w:rPr>
              <w:t>人工列出原始要求，与生成步骤逐项对照</w:t>
            </w:r>
          </w:p>
        </w:tc>
        <w:tc>
          <w:tcPr>
            <w:tcW w:type="dxa" w:w="4162"/>
            <w:vAlign w:val="center"/>
            <w:tcMar>
              <w:top w:w="100" w:type="dxa"/>
              <w:bottom w:w="100" w:type="dxa"/>
              <w:left w:w="110" w:type="dxa"/>
              <w:right w:w="110" w:type="dxa"/>
            </w:tcMar>
          </w:tcPr>
          <w:p>
            <w:pPr>
              <w:keepNext/>
              <w:spacing w:before="0" w:after="0" w:line="320" w:lineRule="exact"/>
              <w:jc w:val="left"/>
            </w:pPr>
            <w:r>
              <w:rPr>
                <w:rFonts w:ascii="Calibri" w:hAnsi="Calibri" w:eastAsia="Noto Sans CJK SC"/>
                <w:b w:val="0"/>
                <w:color w:val="000000"/>
                <w:sz w:val="22"/>
              </w:rPr>
              <w:t>是否遗漏、添加无依据要求或错误映射</w:t>
            </w:r>
          </w:p>
        </w:tc>
      </w:tr>
      <w:tr>
        <w:trPr>
          <w:cantSplit/>
        </w:trPr>
        <w:tc>
          <w:tcPr>
            <w:tcW w:type="dxa" w:w="1915"/>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题目与问答</w:t>
            </w:r>
          </w:p>
        </w:tc>
        <w:tc>
          <w:tcPr>
            <w:tcW w:type="dxa" w:w="3888"/>
            <w:vAlign w:val="center"/>
            <w:tcMar>
              <w:top w:w="100" w:type="dxa"/>
              <w:bottom w:w="100" w:type="dxa"/>
              <w:left w:w="110" w:type="dxa"/>
              <w:right w:w="110" w:type="dxa"/>
            </w:tcMar>
          </w:tcPr>
          <w:p>
            <w:pPr>
              <w:keepNext w:val="0"/>
              <w:spacing w:before="0" w:after="0" w:line="320" w:lineRule="exact"/>
              <w:jc w:val="center"/>
            </w:pPr>
            <w:r>
              <w:rPr>
                <w:rFonts w:ascii="Calibri" w:hAnsi="Calibri" w:eastAsia="Noto Sans CJK SC"/>
                <w:b w:val="0"/>
                <w:color w:val="000000"/>
                <w:sz w:val="22"/>
              </w:rPr>
              <w:t>抽样审核答案、解释和引用原文</w:t>
            </w:r>
          </w:p>
        </w:tc>
        <w:tc>
          <w:tcPr>
            <w:tcW w:type="dxa" w:w="4162"/>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引用是否支持结论，题目是否存在歧义</w:t>
            </w:r>
          </w:p>
        </w:tc>
      </w:tr>
      <w:tr>
        <w:trPr>
          <w:cantSplit/>
        </w:trPr>
        <w:tc>
          <w:tcPr>
            <w:tcW w:type="dxa" w:w="1915"/>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操作流程</w:t>
            </w:r>
          </w:p>
        </w:tc>
        <w:tc>
          <w:tcPr>
            <w:tcW w:type="dxa" w:w="3888"/>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完成分类、建立计划、开始关卡、续学和调整等任务</w:t>
            </w:r>
          </w:p>
        </w:tc>
        <w:tc>
          <w:tcPr>
            <w:tcW w:type="dxa" w:w="4162"/>
            <w:vAlign w:val="center"/>
            <w:tcMar>
              <w:top w:w="100" w:type="dxa"/>
              <w:bottom w:w="100" w:type="dxa"/>
              <w:left w:w="110" w:type="dxa"/>
              <w:right w:w="110" w:type="dxa"/>
            </w:tcMar>
          </w:tcPr>
          <w:p>
            <w:pPr>
              <w:keepNext w:val="0"/>
              <w:spacing w:before="0" w:after="0" w:line="320" w:lineRule="exact"/>
              <w:jc w:val="center"/>
            </w:pPr>
            <w:r>
              <w:rPr>
                <w:rFonts w:ascii="Calibri" w:hAnsi="Calibri" w:eastAsia="Noto Sans CJK SC"/>
                <w:b w:val="0"/>
                <w:color w:val="000000"/>
                <w:sz w:val="22"/>
              </w:rPr>
              <w:t>成功率、错误、耗时及困难原因</w:t>
            </w:r>
          </w:p>
        </w:tc>
      </w:tr>
      <w:tr>
        <w:trPr>
          <w:cantSplit/>
        </w:trPr>
        <w:tc>
          <w:tcPr>
            <w:tcW w:type="dxa" w:w="1915"/>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计划可行性</w:t>
            </w:r>
          </w:p>
        </w:tc>
        <w:tc>
          <w:tcPr>
            <w:tcW w:type="dxa" w:w="3888"/>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构造时间不足、资料缺失和受阻情境</w:t>
            </w:r>
          </w:p>
        </w:tc>
        <w:tc>
          <w:tcPr>
            <w:tcW w:type="dxa" w:w="4162"/>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能否恢复，是否违背依赖或官方截止日</w:t>
            </w:r>
          </w:p>
        </w:tc>
      </w:tr>
      <w:tr>
        <w:trPr>
          <w:cantSplit/>
        </w:trPr>
        <w:tc>
          <w:tcPr>
            <w:tcW w:type="dxa" w:w="1915"/>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独立理解</w:t>
            </w:r>
          </w:p>
        </w:tc>
        <w:tc>
          <w:tcPr>
            <w:tcW w:type="dxa" w:w="3888"/>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使用难度相近但不同的无提示题目或解释任务</w:t>
            </w:r>
          </w:p>
        </w:tc>
        <w:tc>
          <w:tcPr>
            <w:tcW w:type="dxa" w:w="4162"/>
            <w:vAlign w:val="center"/>
            <w:tcMar>
              <w:top w:w="100" w:type="dxa"/>
              <w:bottom w:w="100" w:type="dxa"/>
              <w:left w:w="110" w:type="dxa"/>
              <w:right w:w="110" w:type="dxa"/>
            </w:tcMar>
          </w:tcPr>
          <w:p>
            <w:pPr>
              <w:keepNext w:val="0"/>
              <w:spacing w:before="0" w:after="0" w:line="320" w:lineRule="exact"/>
              <w:jc w:val="left"/>
            </w:pPr>
            <w:r>
              <w:rPr>
                <w:rFonts w:ascii="Calibri" w:hAnsi="Calibri" w:eastAsia="Noto Sans CJK SC"/>
                <w:b w:val="0"/>
                <w:color w:val="000000"/>
                <w:sz w:val="22"/>
              </w:rPr>
              <w:t>能否解释、应用和迁移，条件允许时观察延迟回忆</w:t>
            </w:r>
          </w:p>
        </w:tc>
      </w:tr>
    </w:tbl>
    <w:p>
      <w:pPr>
        <w:spacing w:after="40" w:before="0" w:line="240" w:lineRule="auto"/>
      </w:pPr>
      <w:r>
        <w:rPr>
          <w:rFonts w:ascii="Calibri" w:hAnsi="Calibri" w:eastAsia="Noto Sans CJK SC"/>
          <w:color w:val="000000"/>
          <w:sz w:val="6"/>
        </w:rPr>
      </w:r>
    </w:p>
    <w:p>
      <w:r>
        <w:rPr>
          <w:rFonts w:ascii="Calibri" w:hAnsi="Calibri" w:eastAsia="Noto Sans CJK SC"/>
          <w:b w:val="0"/>
          <w:color w:val="000000"/>
        </w:rPr>
        <w:t>功能验收应覆盖课程隔离、来源回看、缺失信息提示、暂停续学、文件与衍生数据删除、模型失败恢复及手机操作。来源正确率等质量目标由团队依据样本和人工基准确定，不在测试前宣称达到具体效果。</w:t>
      </w:r>
    </w:p>
    <w:p>
      <w:pPr>
        <w:pStyle w:val="Heading1"/>
      </w:pPr>
      <w:r>
        <w:rPr>
          <w:rFonts w:ascii="Calibri" w:hAnsi="Calibri" w:eastAsia="Noto Sans CJK SC"/>
          <w:b w:val="0"/>
          <w:color w:val="000000"/>
        </w:rPr>
        <w:t>10 伦理与风险管理</w:t>
      </w:r>
    </w:p>
    <w:p>
      <w:r>
        <w:rPr>
          <w:rFonts w:ascii="Calibri" w:hAnsi="Calibri" w:eastAsia="Noto Sans CJK SC"/>
          <w:b/>
          <w:color w:val="000000"/>
        </w:rPr>
        <w:t>学术使用边界。</w:t>
      </w:r>
      <w:r>
        <w:rPr>
          <w:rFonts w:ascii="Calibri" w:hAnsi="Calibri" w:eastAsia="Noto Sans CJK SC"/>
          <w:b w:val="0"/>
          <w:color w:val="000000"/>
        </w:rPr>
        <w:t xml:space="preserve"> 平台帮助学生理解要求、规划行动和检查知识，不替学生生成可直接提交的完整受评成果。材料应保存相关课程的 AI 使用说明，具体活动遵循课程规则；教师评分与模型反馈分别标注。</w:t>
      </w:r>
    </w:p>
    <w:p>
      <w:r>
        <w:rPr>
          <w:rFonts w:ascii="Calibri" w:hAnsi="Calibri" w:eastAsia="Noto Sans CJK SC"/>
          <w:b/>
          <w:color w:val="000000"/>
        </w:rPr>
        <w:t>资料与录音保护。</w:t>
      </w:r>
      <w:r>
        <w:rPr>
          <w:rFonts w:ascii="Calibri" w:hAnsi="Calibri" w:eastAsia="Noto Sans CJK SC"/>
          <w:b w:val="0"/>
          <w:color w:val="000000"/>
        </w:rPr>
        <w:t xml:space="preserve"> 原课件和录音默认私有，仅处理获准资料。录音由学生主动开启，并取得课堂要求的许可。使用外部模型或转写服务时说明处理范围与去向；凭据保留在服务端，不能放入网页代码或共享文件。</w:t>
      </w:r>
    </w:p>
    <w:p>
      <w:r>
        <w:rPr>
          <w:rFonts w:ascii="Calibri" w:hAnsi="Calibri" w:eastAsia="Noto Sans CJK SC"/>
          <w:b/>
          <w:color w:val="000000"/>
        </w:rPr>
        <w:t>准确性与纠错。</w:t>
      </w:r>
      <w:r>
        <w:rPr>
          <w:rFonts w:ascii="Calibri" w:hAnsi="Calibri" w:eastAsia="Noto Sans CJK SC"/>
          <w:b w:val="0"/>
          <w:color w:val="000000"/>
        </w:rPr>
        <w:t xml:space="preserve"> AI 可能误读材料、遗漏限制或产生错误解释。平台提供来源对照、学生确认、修改和问题反馈；图片、扫描件和转写错误应明确提示。存在页码引用不等于内容已经得到事实核查。</w:t>
      </w:r>
    </w:p>
    <w:p>
      <w:r>
        <w:rPr>
          <w:rFonts w:ascii="Calibri" w:hAnsi="Calibri" w:eastAsia="Noto Sans CJK SC"/>
          <w:b/>
          <w:color w:val="000000"/>
        </w:rPr>
        <w:t>学习自主性。</w:t>
      </w:r>
      <w:r>
        <w:rPr>
          <w:rFonts w:ascii="Calibri" w:hAnsi="Calibri" w:eastAsia="Noto Sans CJK SC"/>
          <w:b w:val="0"/>
          <w:color w:val="000000"/>
        </w:rPr>
        <w:t xml:space="preserve"> 完成百分比和持续计时可能诱导学生追求记录而非理解，设计与评估应关注这一影响。学生可以调整计划、停止学习后继续，并控制提醒强度。跨学科评价避免用单一题型或分数衡量所有学习目标。</w:t>
      </w:r>
    </w:p>
    <w:p>
      <w:r>
        <w:rPr>
          <w:rFonts w:ascii="Calibri" w:hAnsi="Calibri" w:eastAsia="Noto Sans CJK SC"/>
          <w:b/>
          <w:color w:val="000000"/>
        </w:rPr>
        <w:t>范围与资源。</w:t>
      </w:r>
      <w:r>
        <w:rPr>
          <w:rFonts w:ascii="Calibri" w:hAnsi="Calibri" w:eastAsia="Noto Sans CJK SC"/>
          <w:b w:val="0"/>
          <w:color w:val="000000"/>
        </w:rPr>
        <w:t xml:space="preserve"> 功能过多、模型等待、接口费用和研究审批会影响交付。团队按核心流程优先级安排工作，先验证代表性材料，再扩大课程类型和课堂功能。</w:t>
      </w:r>
    </w:p>
    <w:p>
      <w:pPr>
        <w:pStyle w:val="Heading1"/>
      </w:pPr>
      <w:r>
        <w:rPr>
          <w:rFonts w:ascii="Calibri" w:hAnsi="Calibri" w:eastAsia="Noto Sans CJK SC"/>
          <w:b w:val="0"/>
          <w:color w:val="000000"/>
        </w:rPr>
        <w:t>11 组内需要确认的事项</w:t>
      </w:r>
    </w:p>
    <w:p>
      <w:r>
        <w:rPr>
          <w:rFonts w:ascii="Calibri" w:hAnsi="Calibri" w:eastAsia="Noto Sans CJK SC"/>
          <w:b w:val="0"/>
          <w:color w:val="000000"/>
        </w:rPr>
        <w:t>下次讨论建议形成以下决定，并在本方案中更新负责人和完成日期：</w:t>
      </w:r>
    </w:p>
    <w:p>
      <w:pPr>
        <w:spacing w:after="80"/>
        <w:ind w:left="259" w:hanging="230"/>
      </w:pPr>
      <w:r>
        <w:rPr>
          <w:rFonts w:ascii="Calibri" w:hAnsi="Calibri" w:eastAsia="Noto Sans CJK SC"/>
          <w:b w:val="0"/>
          <w:color w:val="000000"/>
        </w:rPr>
        <w:t>1. 是否认可“课程学习与作业推进工作台”的定位，主要用户及优先使用情境是什么。</w:t>
      </w:r>
    </w:p>
    <w:p>
      <w:pPr>
        <w:spacing w:after="80"/>
        <w:ind w:left="259" w:hanging="230"/>
      </w:pPr>
      <w:r>
        <w:rPr>
          <w:rFonts w:ascii="Calibri" w:hAnsi="Calibri" w:eastAsia="Noto Sans CJK SC"/>
          <w:b w:val="0"/>
          <w:color w:val="000000"/>
        </w:rPr>
        <w:t>2. P0 是否以 coursework 要求拆解和课件短学习路线为主，哪些课堂功能列为扩展。</w:t>
      </w:r>
    </w:p>
    <w:p>
      <w:pPr>
        <w:spacing w:after="80"/>
        <w:ind w:left="259" w:hanging="230"/>
      </w:pPr>
      <w:r>
        <w:rPr>
          <w:rFonts w:ascii="Calibri" w:hAnsi="Calibri" w:eastAsia="Noto Sans CJK SC"/>
          <w:b w:val="0"/>
          <w:color w:val="000000"/>
        </w:rPr>
        <w:t>3. 选择哪两类课程材料和作业作为代表性样本，如何核对来源与评价标准。</w:t>
      </w:r>
    </w:p>
    <w:p>
      <w:pPr>
        <w:spacing w:after="80"/>
        <w:ind w:left="259" w:hanging="230"/>
      </w:pPr>
      <w:r>
        <w:rPr>
          <w:rFonts w:ascii="Calibri" w:hAnsi="Calibri" w:eastAsia="Noto Sans CJK SC"/>
          <w:b w:val="0"/>
          <w:color w:val="000000"/>
        </w:rPr>
        <w:t>4. 如何安排 ELM 账户、接口预算、材料使用权限和后续托管。</w:t>
      </w:r>
    </w:p>
    <w:p>
      <w:pPr>
        <w:spacing w:after="80"/>
        <w:ind w:left="259" w:hanging="230"/>
      </w:pPr>
      <w:r>
        <w:rPr>
          <w:rFonts w:ascii="Calibri" w:hAnsi="Calibri" w:eastAsia="Noto Sans CJK SC"/>
          <w:b w:val="0"/>
          <w:color w:val="000000"/>
        </w:rPr>
        <w:t>5. 如何验证跨学科适用性、独立理解及时间提醒的体验。</w:t>
      </w:r>
    </w:p>
    <w:p>
      <w:pPr>
        <w:spacing w:after="80"/>
        <w:ind w:left="259" w:hanging="230"/>
      </w:pPr>
      <w:r>
        <w:rPr>
          <w:rFonts w:ascii="Calibri" w:hAnsi="Calibri" w:eastAsia="Noto Sans CJK SC"/>
          <w:b w:val="0"/>
          <w:color w:val="000000"/>
        </w:rPr>
        <w:t>6. 谁负责团队注册、各模块开发、内容审核和最终报告整合。</w:t>
      </w:r>
    </w:p>
    <w:p>
      <w:pPr>
        <w:pStyle w:val="Heading1"/>
        <w:pageBreakBefore/>
      </w:pPr>
      <w:r>
        <w:rPr>
          <w:rFonts w:ascii="Calibri" w:hAnsi="Calibri" w:eastAsia="Noto Sans CJK SC"/>
          <w:b w:val="0"/>
          <w:color w:val="000000"/>
        </w:rPr>
        <w:t>参考资料</w:t>
      </w:r>
    </w:p>
    <w:p>
      <w:r>
        <w:rPr>
          <w:rFonts w:ascii="Calibri" w:hAnsi="Calibri" w:eastAsia="Noto Sans CJK SC"/>
          <w:b w:val="0"/>
          <w:color w:val="000000"/>
        </w:rPr>
        <w:t>[1] TeachAthon 2026 官方材料。</w:t>
      </w:r>
      <w:hyperlink r:id="rId10">
        <w:r>
          <w:rPr>
            <w:rFonts w:ascii="Calibri" w:hAnsi="Calibri" w:eastAsia="Noto Sans CJK SC"/>
            <w:color w:val="234D6C"/>
            <w:u w:val="single"/>
          </w:rPr>
          <w:t>项目仓库</w:t>
        </w:r>
      </w:hyperlink>
      <w:r>
        <w:rPr>
          <w:rFonts w:ascii="Calibri" w:hAnsi="Calibri" w:eastAsia="Noto Sans CJK SC"/>
          <w:b w:val="0"/>
          <w:color w:val="000000"/>
        </w:rPr>
        <w:t>；</w:t>
      </w:r>
      <w:hyperlink r:id="rId11">
        <w:r>
          <w:rPr>
            <w:rFonts w:ascii="Calibri" w:hAnsi="Calibri" w:eastAsia="Noto Sans CJK SC"/>
            <w:color w:val="234D6C"/>
            <w:u w:val="single"/>
          </w:rPr>
          <w:t>开场说明 PDF</w:t>
        </w:r>
      </w:hyperlink>
      <w:r>
        <w:rPr>
          <w:rFonts w:ascii="Calibri" w:hAnsi="Calibri" w:eastAsia="Noto Sans CJK SC"/>
          <w:b w:val="0"/>
          <w:color w:val="000000"/>
        </w:rPr>
        <w:t>，重点参阅第 5、8、9 页；</w:t>
      </w:r>
      <w:hyperlink r:id="rId12">
        <w:r>
          <w:rPr>
            <w:rFonts w:ascii="Calibri" w:hAnsi="Calibri" w:eastAsia="Noto Sans CJK SC"/>
            <w:color w:val="234D6C"/>
            <w:u w:val="single"/>
          </w:rPr>
          <w:t>团队注册表</w:t>
        </w:r>
      </w:hyperlink>
      <w:r>
        <w:rPr>
          <w:rFonts w:ascii="Calibri" w:hAnsi="Calibri" w:eastAsia="Noto Sans CJK SC"/>
          <w:b w:val="0"/>
          <w:color w:val="000000"/>
        </w:rPr>
        <w:t>；</w:t>
      </w:r>
      <w:hyperlink r:id="rId13">
        <w:r>
          <w:rPr>
            <w:rFonts w:ascii="Calibri" w:hAnsi="Calibri" w:eastAsia="Noto Sans CJK SC"/>
            <w:color w:val="234D6C"/>
            <w:u w:val="single"/>
          </w:rPr>
          <w:t>报告模板</w:t>
        </w:r>
      </w:hyperlink>
      <w:r>
        <w:rPr>
          <w:rFonts w:ascii="Calibri" w:hAnsi="Calibri" w:eastAsia="Noto Sans CJK SC"/>
          <w:b w:val="0"/>
          <w:color w:val="000000"/>
        </w:rPr>
        <w:t>。</w:t>
      </w:r>
    </w:p>
    <w:p>
      <w:r>
        <w:rPr>
          <w:rFonts w:ascii="Calibri" w:hAnsi="Calibri" w:eastAsia="Noto Sans CJK SC"/>
          <w:b w:val="0"/>
          <w:color w:val="000000"/>
        </w:rPr>
        <w:t>[2] Bastani 等。Generative AI without guardrails can harm learning。PNAS，2025。</w:t>
      </w:r>
      <w:hyperlink r:id="rId14">
        <w:r>
          <w:rPr>
            <w:rFonts w:ascii="Calibri" w:hAnsi="Calibri" w:eastAsia="Noto Sans CJK SC"/>
            <w:color w:val="234D6C"/>
            <w:u w:val="single"/>
          </w:rPr>
          <w:t>论文</w:t>
        </w:r>
      </w:hyperlink>
      <w:r>
        <w:rPr>
          <w:rFonts w:ascii="Calibri" w:hAnsi="Calibri" w:eastAsia="Noto Sans CJK SC"/>
          <w:b w:val="0"/>
          <w:color w:val="000000"/>
        </w:rPr>
        <w:t>。</w:t>
      </w:r>
    </w:p>
    <w:p>
      <w:r>
        <w:rPr>
          <w:rFonts w:ascii="Calibri" w:hAnsi="Calibri" w:eastAsia="Noto Sans CJK SC"/>
          <w:b w:val="0"/>
          <w:color w:val="000000"/>
        </w:rPr>
        <w:t>[3] Kestin 等。AI tutoring outperforms in-class active learning: an RCT introducing a novel research-based design in an authentic educational setting。Scientific Reports，2025。</w:t>
      </w:r>
      <w:hyperlink r:id="rId15">
        <w:r>
          <w:rPr>
            <w:rFonts w:ascii="Calibri" w:hAnsi="Calibri" w:eastAsia="Noto Sans CJK SC"/>
            <w:color w:val="234D6C"/>
            <w:u w:val="single"/>
          </w:rPr>
          <w:t>论文</w:t>
        </w:r>
      </w:hyperlink>
      <w:r>
        <w:rPr>
          <w:rFonts w:ascii="Calibri" w:hAnsi="Calibri" w:eastAsia="Noto Sans CJK SC"/>
          <w:b w:val="0"/>
          <w:color w:val="000000"/>
        </w:rPr>
        <w:t>。</w:t>
      </w:r>
    </w:p>
    <w:p>
      <w:r>
        <w:rPr>
          <w:rFonts w:ascii="Calibri" w:hAnsi="Calibri" w:eastAsia="Noto Sans CJK SC"/>
          <w:b w:val="0"/>
          <w:color w:val="000000"/>
        </w:rPr>
        <w:t>[4] MyStudyLife。</w:t>
      </w:r>
      <w:hyperlink r:id="rId16">
        <w:r>
          <w:rPr>
            <w:rFonts w:ascii="Calibri" w:hAnsi="Calibri" w:eastAsia="Noto Sans CJK SC"/>
            <w:color w:val="234D6C"/>
            <w:u w:val="single"/>
          </w:rPr>
          <w:t>官方功能介绍</w:t>
        </w:r>
      </w:hyperlink>
      <w:r>
        <w:rPr>
          <w:rFonts w:ascii="Calibri" w:hAnsi="Calibri" w:eastAsia="Noto Sans CJK SC"/>
          <w:b w:val="0"/>
          <w:color w:val="000000"/>
        </w:rPr>
        <w:t>。</w:t>
      </w:r>
    </w:p>
    <w:p>
      <w:r>
        <w:rPr>
          <w:rFonts w:ascii="Calibri" w:hAnsi="Calibri" w:eastAsia="Noto Sans CJK SC"/>
          <w:b w:val="0"/>
          <w:color w:val="000000"/>
        </w:rPr>
        <w:t>[5] Shovel。</w:t>
      </w:r>
      <w:hyperlink r:id="rId17">
        <w:r>
          <w:rPr>
            <w:rFonts w:ascii="Calibri" w:hAnsi="Calibri" w:eastAsia="Noto Sans CJK SC"/>
            <w:color w:val="234D6C"/>
            <w:u w:val="single"/>
          </w:rPr>
          <w:t>官方网站</w:t>
        </w:r>
      </w:hyperlink>
      <w:r>
        <w:rPr>
          <w:rFonts w:ascii="Calibri" w:hAnsi="Calibri" w:eastAsia="Noto Sans CJK SC"/>
          <w:b w:val="0"/>
          <w:color w:val="000000"/>
        </w:rPr>
        <w:t>。</w:t>
      </w:r>
    </w:p>
    <w:p>
      <w:r>
        <w:rPr>
          <w:rFonts w:ascii="Calibri" w:hAnsi="Calibri" w:eastAsia="Noto Sans CJK SC"/>
          <w:b w:val="0"/>
          <w:color w:val="000000"/>
        </w:rPr>
        <w:t>[6] TeachAthon 2025。</w:t>
      </w:r>
      <w:hyperlink r:id="rId18">
        <w:r>
          <w:rPr>
            <w:rFonts w:ascii="Calibri" w:hAnsi="Calibri" w:eastAsia="Noto Sans CJK SC"/>
            <w:color w:val="234D6C"/>
            <w:u w:val="single"/>
          </w:rPr>
          <w:t>官方项目档案</w:t>
        </w:r>
      </w:hyperlink>
      <w:r>
        <w:rPr>
          <w:rFonts w:ascii="Calibri" w:hAnsi="Calibri" w:eastAsia="Noto Sans CJK SC"/>
          <w:b w:val="0"/>
          <w:color w:val="000000"/>
        </w:rPr>
        <w:t>。</w:t>
      </w:r>
    </w:p>
    <w:p>
      <w:r>
        <w:rPr>
          <w:rFonts w:ascii="Calibri" w:hAnsi="Calibri" w:eastAsia="Noto Sans CJK SC"/>
          <w:b w:val="0"/>
          <w:color w:val="000000"/>
        </w:rPr>
        <w:t>[7] 界面参考。</w:t>
      </w:r>
      <w:hyperlink r:id="rId19">
        <w:r>
          <w:rPr>
            <w:rFonts w:ascii="Calibri" w:hAnsi="Calibri" w:eastAsia="Noto Sans CJK SC"/>
            <w:color w:val="234D6C"/>
            <w:u w:val="single"/>
          </w:rPr>
          <w:t>Linear Timeline</w:t>
        </w:r>
      </w:hyperlink>
      <w:r>
        <w:rPr>
          <w:rFonts w:ascii="Calibri" w:hAnsi="Calibri" w:eastAsia="Noto Sans CJK SC"/>
          <w:b w:val="0"/>
          <w:color w:val="000000"/>
        </w:rPr>
        <w:t>；</w:t>
      </w:r>
      <w:hyperlink r:id="rId20">
        <w:r>
          <w:rPr>
            <w:rFonts w:ascii="Calibri" w:hAnsi="Calibri" w:eastAsia="Noto Sans CJK SC"/>
            <w:color w:val="234D6C"/>
            <w:u w:val="single"/>
          </w:rPr>
          <w:t>Structured</w:t>
        </w:r>
      </w:hyperlink>
      <w:r>
        <w:rPr>
          <w:rFonts w:ascii="Calibri" w:hAnsi="Calibri" w:eastAsia="Noto Sans CJK SC"/>
          <w:b w:val="0"/>
          <w:color w:val="000000"/>
        </w:rPr>
        <w:t>。参考信息组织方式，具体界面按本项目的课程与学习流程设计。</w:t>
      </w:r>
    </w:p>
    <w:sectPr w:rsidR="00FC693F" w:rsidRPr="0006063C" w:rsidSect="00034616">
      <w:footerReference w:type="default" r:id="rId9"/>
      <w:pgSz w:w="12240" w:h="15840"/>
      <w:pgMar w:top="1037" w:right="1138" w:bottom="1037" w:left="1138"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Noto Sans CJK SC"/>
        <w:b w:val="0"/>
        <w:color w:val="000000"/>
        <w:sz w:val="18"/>
      </w:rPr>
      <w:t xml:space="preserve">第 </w:t>
    </w:r>
    <w:fldSimple w:instr="PAGE"/>
    <w:r>
      <w:rPr>
        <w:rFonts w:ascii="Calibri" w:hAnsi="Calibri" w:eastAsia="Noto Sans CJK SC"/>
        <w:b w:val="0"/>
        <w:color w:val="00000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40" w:lineRule="exact" w:after="120"/>
      <w:snapToGrid w:val="0"/>
    </w:pPr>
    <w:rPr>
      <w:rFonts w:ascii="Calibri" w:hAnsi="Calibri" w:eastAsia="Noto Sans CJK SC"/>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76" w:lineRule="auto"/>
      <w:outlineLvl w:val="0"/>
      <w:snapToGrid w:val="0"/>
    </w:pPr>
    <w:rPr>
      <w:rFonts w:ascii="Calibri" w:hAnsi="Calibri" w:eastAsia="Noto Sans CJK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line="276" w:lineRule="auto"/>
      <w:outlineLvl w:val="1"/>
      <w:snapToGrid w:val="0"/>
    </w:pPr>
    <w:rPr>
      <w:rFonts w:ascii="Calibri" w:hAnsi="Calibri" w:eastAsia="Noto Sans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20" w:line="276" w:lineRule="auto"/>
      <w:outlineLvl w:val="2"/>
      <w:snapToGrid w:val="0"/>
    </w:pPr>
    <w:rPr>
      <w:rFonts w:ascii="Calibri" w:hAnsi="Calibri" w:eastAsia="Noto Sans CJK S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64" w:lineRule="auto" w:before="0"/>
      <w:contextualSpacing/>
      <w:keepNext/>
      <w:snapToGrid w:val="0"/>
    </w:pPr>
    <w:rPr>
      <w:rFonts w:ascii="Calibri" w:hAnsi="Calibri" w:eastAsia="Noto Sans CJK SC"/>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Calibri" w:hAnsi="Calibri" w:eastAsia="Noto Sans CJK SC"/>
      <w:b w:val="0"/>
      <w:i w:val="0"/>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rPr>
      <w:rFonts w:ascii="Calibri" w:hAnsi="Calibri" w:eastAsia="Noto Sans CJK SC"/>
      <w:b w:val="0"/>
      <w:color w:val="000000"/>
      <w:sz w:val="23"/>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Synthetic-Processes-Embodiment-Labs/TeachAthon-2026" TargetMode="External"/><Relationship Id="rId11" Type="http://schemas.openxmlformats.org/officeDocument/2006/relationships/hyperlink" Target="https://github.com/Synthetic-Processes-Embodiment-Labs/TeachAthon-2026/blob/main/teachAthon_26_admin.pdf" TargetMode="External"/><Relationship Id="rId12" Type="http://schemas.openxmlformats.org/officeDocument/2006/relationships/hyperlink" Target="https://forms.cloud.microsoft/e/wqDE37idWR" TargetMode="External"/><Relationship Id="rId13" Type="http://schemas.openxmlformats.org/officeDocument/2006/relationships/hyperlink" Target="https://edin.ac/42Oax7x" TargetMode="External"/><Relationship Id="rId14" Type="http://schemas.openxmlformats.org/officeDocument/2006/relationships/hyperlink" Target="https://doi.org/10.1073/pnas.2422633122" TargetMode="External"/><Relationship Id="rId15" Type="http://schemas.openxmlformats.org/officeDocument/2006/relationships/hyperlink" Target="https://doi.org/10.1038/s41598-025-97652-6" TargetMode="External"/><Relationship Id="rId16" Type="http://schemas.openxmlformats.org/officeDocument/2006/relationships/hyperlink" Target="https://mystudylife.com/tour/" TargetMode="External"/><Relationship Id="rId17" Type="http://schemas.openxmlformats.org/officeDocument/2006/relationships/hyperlink" Target="https://shovelapp.io/" TargetMode="External"/><Relationship Id="rId18" Type="http://schemas.openxmlformats.org/officeDocument/2006/relationships/hyperlink" Target="https://github.com/Synthetic-Processes-Embodiment-Labs/TeachAthon-2025" TargetMode="External"/><Relationship Id="rId19" Type="http://schemas.openxmlformats.org/officeDocument/2006/relationships/hyperlink" Target="https://linear.app/docs/timeline" TargetMode="External"/><Relationship Id="rId20" Type="http://schemas.openxmlformats.org/officeDocument/2006/relationships/hyperlink" Target="https://structured.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学生学习工作台项目规划</dc:title>
  <dc:subject>项目目标 功能范围 技术方案与团队讨论事项</dc:subject>
  <dc:creator/>
  <cp:keywords>TeachAthon 2026 学生学习工作台 项目规划</cp:keywords>
  <dc:description>generated by python-docx</dc:description>
  <cp:lastModifiedBy/>
  <cp:revision>1</cp:revision>
  <dcterms:created xsi:type="dcterms:W3CDTF">2013-12-23T23:15:00Z</dcterms:created>
  <dcterms:modified xsi:type="dcterms:W3CDTF">2013-12-23T23:15:00Z</dcterms:modified>
  <cp:category/>
</cp:coreProperties>
</file>