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69696"/>
          <w:sz w:val="18"/>
        </w:rPr>
        <w:t>Beispielvorlage — Absatz-Modus. Diese Datei zeigt alle unterstützten Platzhalter und nutzt absatz-modus für die Erwiderung. Layout, Schriften, Logos, Kopf-/Fußzeilen, Betreff, Anrede und Grußformeln können Sie frei anpassen — solange Sie nur die hier vorkommenden $&lt;{...}&gt;-Platzhalter verwenden. Für den produktiven Einsatz löschen Sie diesen Einleitungsabsatz. Es darf in einer Vorlage immer nur EIN Wiederholungs-Modus verwendet werden (Tabelle ODER Absätze).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102"/>
            <w:vAlign w:val="top"/>
          </w:tcPr>
          <w:p>
            <w:r/>
            <w:r>
              <w:rPr>
                <w:b w:val="0"/>
                <w:i w:val="0"/>
              </w:rPr>
              <w:t>${submitterName}</w:t>
            </w:r>
          </w:p>
          <w:p>
            <w:r>
              <w:rPr>
                <w:b w:val="0"/>
                <w:i w:val="0"/>
              </w:rPr>
              <w:t>${submitterOrgaName}</w:t>
            </w:r>
          </w:p>
          <w:p>
            <w:r>
              <w:rPr>
                <w:b w:val="0"/>
                <w:i w:val="0"/>
              </w:rPr>
              <w:t>${submitterStreet}</w:t>
            </w:r>
          </w:p>
          <w:p>
            <w:r>
              <w:rPr>
                <w:b w:val="0"/>
                <w:i w:val="0"/>
              </w:rPr>
              <w:t>${submitterPostalCode} ${submitterCity}</w:t>
            </w:r>
          </w:p>
          <w:p>
            <w:r>
              <w:rPr>
                <w:b w:val="0"/>
                <w:i w:val="0"/>
              </w:rPr>
              <w:t>${submitterEmail}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/>
                <w:color w:val="787878"/>
                <w:sz w:val="20"/>
              </w:rPr>
              <w:t xml:space="preserve">Ihre Eingangsnummer: </w:t>
            </w:r>
            <w:r>
              <w:rPr>
                <w:sz w:val="20"/>
              </w:rPr>
              <w:t>${statementExternId}</w:t>
            </w:r>
          </w:p>
          <w:p>
            <w:r>
              <w:rPr>
                <w:b/>
                <w:color w:val="787878"/>
                <w:sz w:val="20"/>
              </w:rPr>
              <w:t xml:space="preserve">Einreichungsdatum: </w:t>
            </w:r>
            <w:r>
              <w:rPr>
                <w:sz w:val="20"/>
              </w:rPr>
              <w:t>${statementSubmitDate}</w:t>
            </w:r>
          </w:p>
          <w:p>
            <w:r>
              <w:rPr>
                <w:b/>
                <w:color w:val="787878"/>
                <w:sz w:val="20"/>
              </w:rPr>
              <w:t xml:space="preserve">Verfahren: </w:t>
            </w:r>
            <w:r>
              <w:rPr>
                <w:sz w:val="20"/>
              </w:rPr>
              <w:t>${procedureName}</w:t>
            </w:r>
          </w:p>
          <w:p>
            <w:r>
              <w:rPr>
                <w:b/>
                <w:color w:val="787878"/>
                <w:sz w:val="20"/>
              </w:rPr>
              <w:t xml:space="preserve">Verfahrens-ID: </w:t>
            </w:r>
            <w:r>
              <w:rPr>
                <w:sz w:val="20"/>
              </w:rPr>
              <w:t>${procedureExternId}</w:t>
            </w:r>
          </w:p>
          <w:p>
            <w:r>
              <w:rPr>
                <w:b/>
                <w:color w:val="787878"/>
                <w:sz w:val="20"/>
              </w:rPr>
              <w:t xml:space="preserve">Datum: </w:t>
            </w:r>
            <w:r>
              <w:rPr>
                <w:sz w:val="20"/>
              </w:rPr>
              <w:t>${todayDate}</w:t>
            </w:r>
          </w:p>
        </w:tc>
      </w:tr>
    </w:tbl>
    <w:p/>
    <w:p>
      <w:r>
        <w:rPr>
          <w:b/>
        </w:rPr>
        <w:t xml:space="preserve">Betreff:  </w:t>
      </w:r>
      <w:r>
        <w:rPr>
          <w:b/>
        </w:rPr>
        <w:t xml:space="preserve">Ihre Einwendung im Verfahren </w:t>
      </w:r>
      <w:r>
        <w:rPr>
          <w:b/>
        </w:rPr>
        <w:t>${procedureName}</w:t>
      </w:r>
    </w:p>
    <w:p/>
    <w:p>
      <w:r>
        <w:rPr>
          <w:b w:val="0"/>
          <w:i w:val="0"/>
        </w:rPr>
        <w:t>Sehr geehrte Damen und Herren,</w:t>
      </w:r>
    </w:p>
    <w:p/>
    <w:p>
      <w:r>
        <w:rPr>
          <w:b w:val="0"/>
          <w:i w:val="0"/>
        </w:rPr>
        <w:t>vielen Dank für Ihre Einwendung im oben genannten Verfahren. Nachstehend finden Sie unsere Erwiderung zu den von Ihnen vorgebrachten Punkten.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/>
          <w:color w:val="969696"/>
          <w:sz w:val="18"/>
        </w:rPr>
        <w:t>${segmentsAsParagraphs}</w:t>
      </w:r>
    </w:p>
    <w:p>
      <w:r>
        <w:rPr>
          <w:b/>
          <w:sz w:val="22"/>
        </w:rPr>
        <w:t>Punkt ${segmentExternId}</w:t>
      </w:r>
      <w:r>
        <w:rPr>
          <w:b/>
          <w:sz w:val="22"/>
        </w:rPr>
        <w:t xml:space="preserve">  —  </w:t>
      </w:r>
      <w:r>
        <w:rPr>
          <w:color w:val="787878"/>
          <w:sz w:val="20"/>
        </w:rPr>
        <w:t>${segmentPlace}</w:t>
      </w:r>
    </w:p>
    <w:p>
      <w:r>
        <w:rPr>
          <w:b/>
          <w:i w:val="0"/>
          <w:sz w:val="20"/>
        </w:rPr>
        <w:t>Ihr Vorbringen:</w:t>
      </w:r>
    </w:p>
    <w:p>
      <w:r>
        <w:rPr>
          <w:b w:val="0"/>
          <w:i w:val="0"/>
        </w:rPr>
        <w:t>${segmentText}</w:t>
      </w:r>
    </w:p>
    <w:p>
      <w:r>
        <w:rPr>
          <w:b/>
          <w:i w:val="0"/>
          <w:sz w:val="20"/>
        </w:rPr>
        <w:t>Unsere Erwiderung:</w:t>
      </w:r>
    </w:p>
    <w:p>
      <w:r>
        <w:rPr>
          <w:b w:val="0"/>
          <w:i w:val="0"/>
        </w:rPr>
        <w:t>${segmentRecommendation}</w:t>
      </w:r>
    </w:p>
    <w:p/>
    <w:p>
      <w:r>
        <w:rPr>
          <w:b w:val="0"/>
          <w:i/>
          <w:color w:val="969696"/>
          <w:sz w:val="18"/>
        </w:rPr>
        <w:t>${/segmentsAsParagraphs}</w:t>
      </w:r>
    </w:p>
    <w:p/>
    <w:p>
      <w:r>
        <w:rPr>
          <w:b w:val="0"/>
          <w:i w:val="0"/>
        </w:rPr>
        <w:t>Sollten Sie Rückfragen haben, wenden Sie sich gern an die im Briefkopf angegebene Adresse.</w:t>
      </w:r>
    </w:p>
    <w:p/>
    <w:p>
      <w:r>
        <w:rPr>
          <w:b w:val="0"/>
          <w:i w:val="0"/>
        </w:rPr>
        <w:t>Mit freundlichen Grüßen</w:t>
      </w:r>
    </w:p>
    <w:p/>
    <w:p>
      <w:r>
        <w:rPr>
          <w:b w:val="0"/>
          <w:i w:val="0"/>
        </w:rPr>
        <w:t>${planningAgencyName}</w:t>
      </w:r>
    </w:p>
    <w:p>
      <w:r>
        <w:rPr>
          <w:b w:val="0"/>
          <w:i w:val="0"/>
        </w:rPr>
        <w:t>${planner}</w:t>
      </w:r>
    </w:p>
    <w:p>
      <w:r>
        <w:rPr>
          <w:b w:val="0"/>
          <w:i/>
          <w:color w:val="969696"/>
          <w:sz w:val="16"/>
        </w:rPr>
        <w:t>(Die Unterschriftszeile kann mit ${planningAgencyName} und ${planner} automatisch befüllt werden — oder fest in der Vorlage stehen.)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85" w:right="1134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DEMOS Musterbehörde  ·  Musterstraße 1, 12345 Musterstadt  ·  Tel. +49 (0)30 1234567  ·  vorlage@demos-musterbehoerde.de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drawing>
        <wp:inline xmlns:a="http://schemas.openxmlformats.org/drawingml/2006/main" xmlns:pic="http://schemas.openxmlformats.org/drawingml/2006/picture">
          <wp:extent cx="792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87878"/>
        <w:sz w:val="18"/>
      </w:rPr>
      <w:tab/>
      <w:t>${procedureName}  ·  Antwortschreiben vom ${todayDate}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