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</w:t>
      </w:r>
      <w:proofErr w:type="spellStart"/>
      <w:r w:rsidRPr="00DB5B3A">
        <w:rPr>
          <w:sz w:val="20"/>
          <w:szCs w:val="20"/>
        </w:rPr>
        <w:t>github.com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demsarjure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vein_ablation</w:t>
      </w:r>
      <w:proofErr w:type="spellEnd"/>
      <w:r w:rsidRPr="00DB5B3A">
        <w:rPr>
          <w:sz w:val="20"/>
          <w:szCs w:val="20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7E465823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62CD2">
              <w:rPr>
                <w:sz w:val="20"/>
                <w:szCs w:val="20"/>
              </w:rPr>
              <w:t xml:space="preserve">6.67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8.67%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DB5B3A" w14:paraId="2A46AC35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  <w:lang w:val="en-SI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2F9D53D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59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38" w:type="dxa"/>
            <w:vAlign w:val="center"/>
          </w:tcPr>
          <w:p w14:paraId="5383AC4C" w14:textId="2575DB0A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</w:t>
            </w: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38" w:type="dxa"/>
            <w:vAlign w:val="center"/>
          </w:tcPr>
          <w:p w14:paraId="7D75C655" w14:textId="632346A5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</w:tr>
      <w:tr w:rsidR="00DB5B3A" w14:paraId="75C00C0F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FCEED7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38" w:type="dxa"/>
            <w:vAlign w:val="center"/>
          </w:tcPr>
          <w:p w14:paraId="594447CF" w14:textId="51A2FFD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</w:t>
            </w:r>
            <w:r>
              <w:rPr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38" w:type="dxa"/>
            <w:vAlign w:val="center"/>
          </w:tcPr>
          <w:p w14:paraId="2B83AE3C" w14:textId="6F65BC28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DB5B3A" w14:paraId="0FDD4C8A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9EC563D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38" w:type="dxa"/>
            <w:vAlign w:val="center"/>
          </w:tcPr>
          <w:p w14:paraId="5C5F7529" w14:textId="62247054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38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606A2C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6.83%</w:t>
            </w:r>
          </w:p>
        </w:tc>
        <w:tc>
          <w:tcPr>
            <w:tcW w:w="2338" w:type="dxa"/>
            <w:vAlign w:val="center"/>
          </w:tcPr>
          <w:p w14:paraId="39C91D70" w14:textId="39D88A5C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7</w:t>
            </w:r>
            <w:r w:rsidR="00162CD2">
              <w:rPr>
                <w:sz w:val="20"/>
                <w:szCs w:val="20"/>
              </w:rPr>
              <w:t>.3%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27B91364" w:rsidR="00460F94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362D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796A61E6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.05%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age_75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7356EA8C" w:rsidR="00A45D00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 xml:space="preserve">3 </w:t>
            </w:r>
            <w:r w:rsidR="00A45D00" w:rsidRPr="00C37D8F">
              <w:rPr>
                <w:sz w:val="20"/>
                <w:szCs w:val="20"/>
              </w:rPr>
              <w:t>±</w:t>
            </w:r>
            <w:r w:rsidR="00A45D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24%</w:t>
            </w:r>
          </w:p>
        </w:tc>
        <w:tc>
          <w:tcPr>
            <w:tcW w:w="2338" w:type="dxa"/>
            <w:vAlign w:val="center"/>
          </w:tcPr>
          <w:p w14:paraId="56F7E54D" w14:textId="3CC56393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282163A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5.49%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048722AE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914F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25%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age_65_74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3E7C9A58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8.7%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cha2ds2vasc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07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07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07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2D5632B2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8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19%</w:t>
            </w:r>
          </w:p>
        </w:tc>
        <w:tc>
          <w:tcPr>
            <w:tcW w:w="2307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2C0CE4E7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5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4%</w:t>
            </w:r>
          </w:p>
        </w:tc>
        <w:tc>
          <w:tcPr>
            <w:tcW w:w="2307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7D05043F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  <w:r w:rsidR="005028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502837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2710B22D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0B68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5744AC9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53093CB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8.88%</w:t>
            </w:r>
          </w:p>
        </w:tc>
        <w:tc>
          <w:tcPr>
            <w:tcW w:w="2313" w:type="dxa"/>
            <w:vAlign w:val="center"/>
          </w:tcPr>
          <w:p w14:paraId="60DE3E29" w14:textId="041D26C9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3</w:t>
            </w:r>
            <w:r w:rsidR="00653222">
              <w:rPr>
                <w:sz w:val="20"/>
                <w:szCs w:val="20"/>
              </w:rPr>
              <w:t>7</w:t>
            </w:r>
          </w:p>
        </w:tc>
        <w:tc>
          <w:tcPr>
            <w:tcW w:w="2307" w:type="dxa"/>
            <w:vAlign w:val="center"/>
          </w:tcPr>
          <w:p w14:paraId="4903924C" w14:textId="63EEAE57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50AD5433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8 ± 2.41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612A3D7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</w:t>
            </w:r>
            <w:r>
              <w:rPr>
                <w:sz w:val="20"/>
                <w:szCs w:val="20"/>
                <w:lang w:val="en-SI"/>
              </w:rPr>
              <w:t>6</w:t>
            </w:r>
            <w:r w:rsidRPr="009624FA">
              <w:rPr>
                <w:sz w:val="20"/>
                <w:szCs w:val="20"/>
                <w:lang w:val="en-SI"/>
              </w:rPr>
              <w:t>.67 ± 8.07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1D764736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8 ± 2.83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6916ADB3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26.67 ± 9.28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7A272C2D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5 ± 2.01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7AE2C7C4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16.67 ± 6.74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3E131A10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2B53E825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3.33 ± 3.26%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489BFE57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6BFAAC6C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6.67 ± 4.58%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F5A89CA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14D007B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4083C">
              <w:rPr>
                <w:sz w:val="20"/>
                <w:szCs w:val="20"/>
              </w:rPr>
              <w:t xml:space="preserve">3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27%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7ACBC21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482161B9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  <w:r w:rsidR="00E70594">
              <w:rPr>
                <w:sz w:val="20"/>
                <w:szCs w:val="20"/>
              </w:rPr>
              <w:t xml:space="preserve">7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404C38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1.66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605A6BA3" w:rsidR="00CC4D03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49D993C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1.87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D90ACD3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E36D2E"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604EE792" w:rsidR="00140108" w:rsidRPr="0001593E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29DF5881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6.67 ± 4.55%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10D88B80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2C6B8791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3.33 ± 3.25%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B6B8531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7F1D752C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3.33 ± 3.3%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6204707C" w:rsidR="004B6D3B" w:rsidRDefault="00FE75C9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4273F" wp14:editId="06667035">
            <wp:extent cx="5853600" cy="3304032"/>
            <wp:effectExtent l="0" t="0" r="0" b="0"/>
            <wp:docPr id="20131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5624DF22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41.15 ± 10.73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3C0A99F5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39.48 ± 10.74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1A931548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1.67 ± 9.16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11571A9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2739B">
              <w:rPr>
                <w:sz w:val="20"/>
                <w:szCs w:val="20"/>
              </w:rPr>
              <w:t>3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52E66EB5" w14:textId="77777777" w:rsidR="00E4123B" w:rsidRDefault="00E4123B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31DE1FB" w:rsidR="009D2E88" w:rsidRPr="00FE27A2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</w:t>
            </w:r>
            <w:r w:rsidR="000F2B18" w:rsidRPr="00FE27A2">
              <w:rPr>
                <w:b/>
                <w:bCs/>
                <w:sz w:val="20"/>
                <w:szCs w:val="20"/>
              </w:rPr>
              <w:t>0</w:t>
            </w:r>
            <w:r w:rsidR="00FE27A2" w:rsidRPr="00FE27A2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13F42131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71909783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61324663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066BEBA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80.17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23.5%</w:t>
            </w:r>
          </w:p>
        </w:tc>
        <w:tc>
          <w:tcPr>
            <w:tcW w:w="1808" w:type="dxa"/>
            <w:vAlign w:val="center"/>
          </w:tcPr>
          <w:p w14:paraId="47CD6E00" w14:textId="2C26693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91.35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18.63%</w:t>
            </w:r>
          </w:p>
        </w:tc>
        <w:tc>
          <w:tcPr>
            <w:tcW w:w="2307" w:type="dxa"/>
            <w:vAlign w:val="center"/>
          </w:tcPr>
          <w:p w14:paraId="2F01E0C6" w14:textId="762B114E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50363DD7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83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  <w:tc>
          <w:tcPr>
            <w:tcW w:w="1808" w:type="dxa"/>
            <w:vAlign w:val="center"/>
          </w:tcPr>
          <w:p w14:paraId="18E63952" w14:textId="1FA9F11F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76.92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 w:rsidR="00BE07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8.3%</w:t>
            </w:r>
          </w:p>
        </w:tc>
        <w:tc>
          <w:tcPr>
            <w:tcW w:w="2307" w:type="dxa"/>
            <w:vAlign w:val="center"/>
          </w:tcPr>
          <w:p w14:paraId="5331CDEA" w14:textId="2A39C349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004B4C19" w:rsidR="008C10DC" w:rsidRDefault="008C10DC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0065" wp14:editId="025EB585">
            <wp:extent cx="5853600" cy="3295832"/>
            <wp:effectExtent l="0" t="0" r="0" b="0"/>
            <wp:docPr id="2032042708" name="Picture 3" descr="A graph of a number of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2708" name="Picture 3" descr="A graph of a number of vei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32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2CE0BCA6" w14:textId="77777777" w:rsidR="008C10DC" w:rsidRDefault="008C10DC" w:rsidP="008C10DC">
      <w:pPr>
        <w:rPr>
          <w:b/>
          <w:bCs/>
          <w:sz w:val="20"/>
          <w:szCs w:val="20"/>
        </w:rPr>
      </w:pP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77450B8" w:rsidR="00430746" w:rsidRDefault="00587D4E" w:rsidP="00C37D8F">
      <w:r>
        <w:rPr>
          <w:noProof/>
        </w:rPr>
        <w:drawing>
          <wp:inline distT="0" distB="0" distL="0" distR="0" wp14:anchorId="792971F5" wp14:editId="148F71F2">
            <wp:extent cx="5852160" cy="3291840"/>
            <wp:effectExtent l="0" t="0" r="0" b="3810"/>
            <wp:docPr id="2137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lastRenderedPageBreak/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skin_skin_time2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6CBF56CA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80.93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143D1C00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39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7BEC36DE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96194B">
              <w:rPr>
                <w:sz w:val="20"/>
                <w:szCs w:val="20"/>
              </w:rPr>
              <w:t>9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2289E36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2.6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7EBF3D39" w14:textId="63419935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30746">
              <w:rPr>
                <w:sz w:val="20"/>
                <w:szCs w:val="20"/>
              </w:rPr>
              <w:t>.8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099CADEB" w14:textId="0D0DB52F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2A818BF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6194B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96194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96194B">
              <w:rPr>
                <w:sz w:val="20"/>
                <w:szCs w:val="20"/>
              </w:rPr>
              <w:t>21</w:t>
            </w:r>
          </w:p>
        </w:tc>
        <w:tc>
          <w:tcPr>
            <w:tcW w:w="2338" w:type="dxa"/>
            <w:vAlign w:val="center"/>
          </w:tcPr>
          <w:p w14:paraId="404EF19B" w14:textId="5B0D95D2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99</w:t>
            </w:r>
            <w:r w:rsidR="00430746"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2.82</w:t>
            </w:r>
          </w:p>
        </w:tc>
        <w:tc>
          <w:tcPr>
            <w:tcW w:w="2338" w:type="dxa"/>
            <w:vAlign w:val="center"/>
          </w:tcPr>
          <w:p w14:paraId="2F978E91" w14:textId="6AC5C58B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6194B">
              <w:rPr>
                <w:sz w:val="20"/>
                <w:szCs w:val="20"/>
              </w:rPr>
              <w:t>.07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0D184A4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8.57</w:t>
            </w:r>
          </w:p>
        </w:tc>
        <w:tc>
          <w:tcPr>
            <w:tcW w:w="2338" w:type="dxa"/>
            <w:vAlign w:val="center"/>
          </w:tcPr>
          <w:p w14:paraId="58E48536" w14:textId="0091B15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5.12</w:t>
            </w:r>
          </w:p>
        </w:tc>
        <w:tc>
          <w:tcPr>
            <w:tcW w:w="2338" w:type="dxa"/>
            <w:vAlign w:val="center"/>
          </w:tcPr>
          <w:p w14:paraId="51D73C63" w14:textId="1FB9C98B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6BDDF539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9.79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8.94</w:t>
            </w:r>
          </w:p>
        </w:tc>
        <w:tc>
          <w:tcPr>
            <w:tcW w:w="2338" w:type="dxa"/>
            <w:vAlign w:val="center"/>
          </w:tcPr>
          <w:p w14:paraId="750A7E67" w14:textId="369D1F6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3587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3</w:t>
            </w:r>
            <w:r w:rsidR="00AB3587">
              <w:rPr>
                <w:sz w:val="20"/>
                <w:szCs w:val="20"/>
              </w:rPr>
              <w:t xml:space="preserve"> </w:t>
            </w:r>
            <w:r w:rsidR="00AB3587" w:rsidRPr="00C37D8F">
              <w:rPr>
                <w:sz w:val="20"/>
                <w:szCs w:val="20"/>
              </w:rPr>
              <w:t>±</w:t>
            </w:r>
            <w:r w:rsidR="00AB3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AB35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AB3587"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2EA01BC5" w14:textId="149DB68E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0007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1137"/>
        <w:gridCol w:w="1542"/>
        <w:gridCol w:w="1276"/>
        <w:gridCol w:w="1680"/>
        <w:gridCol w:w="1521"/>
        <w:gridCol w:w="889"/>
      </w:tblGrid>
      <w:tr w:rsidR="00E4123B" w:rsidRPr="00C37D8F" w14:paraId="0218DC92" w14:textId="77777777" w:rsidTr="007273F5">
        <w:trPr>
          <w:trHeight w:val="432"/>
          <w:jc w:val="center"/>
        </w:trPr>
        <w:tc>
          <w:tcPr>
            <w:tcW w:w="188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7273F5">
        <w:trPr>
          <w:trHeight w:val="432"/>
          <w:jc w:val="center"/>
        </w:trPr>
        <w:tc>
          <w:tcPr>
            <w:tcW w:w="744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3C0D6AA3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 w:rsidR="007273F5"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7D7636FD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6F010B63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13.33 ± 6.25%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4F67E914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4 ± 1.</w:t>
            </w:r>
            <w:r w:rsidR="00A41DDB">
              <w:rPr>
                <w:sz w:val="20"/>
                <w:szCs w:val="20"/>
                <w:lang w:val="en-SI"/>
              </w:rPr>
              <w:t>86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94BCFAC" w14:textId="28E31D32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6.9 ± 4.76%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CB431CF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1.35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533BE008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1C4310D7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56A7F82" w14:textId="74BA8DFA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6.9 ± 4.68%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1BEBB519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37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4737C6B1" w:rsidR="00E4123B" w:rsidRPr="00752317" w:rsidRDefault="00752317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0441FF61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63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55C4EDA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41DDB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3.</w:t>
            </w:r>
            <w:r w:rsidR="00A41DD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43F6EBC3" w:rsidR="00E4123B" w:rsidRDefault="00A41DDB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 xml:space="preserve"> ± </w:t>
            </w:r>
            <w:r>
              <w:rPr>
                <w:sz w:val="20"/>
                <w:szCs w:val="20"/>
                <w:lang w:val="en-SI"/>
              </w:rPr>
              <w:t>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5BCA872A" w:rsidR="00E4123B" w:rsidRPr="007E7E6F" w:rsidRDefault="007E7E6F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5.44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89728A7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680C2CC" w14:textId="1EFC37E3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E4123B" w:rsidRPr="00C37D8F" w14:paraId="30A17935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659C90D4" w:rsidR="00E4123B" w:rsidRPr="007E7E6F" w:rsidRDefault="007E7E6F" w:rsidP="004E1E27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5.45%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12E2DDB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1.64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6107AD" w14:textId="4B921782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E4123B" w:rsidRPr="00C37D8F" w14:paraId="22A27F09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18A906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EF0330B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6EAD7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2454006" w14:textId="514F50AD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1EF4C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B62B53" w14:textId="57075B9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428363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3.26%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197B8ACA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97EE943" w14:textId="377092B1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388C688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1DDAE3C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3.3%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69048BD2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96DFB5" w14:textId="1ECDA6D8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3.36%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73DA410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54187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4.54%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45A5EC0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299F79A" w14:textId="1150AB9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27EF898E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7BC95E7" w14:textId="4EE6D5B0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E4123B" w:rsidRPr="00C37D8F" w14:paraId="102F92D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5AB1810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4.52%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55A4B1F2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9C85D0F" w14:textId="02AF1D05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8A506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F396B94" w14:textId="3BD365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3.39%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1447D2E4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E0F1B3" w14:textId="72AEF50B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3D7EF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4AE103B6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3.33 ± 3.26%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7BEE729C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C42B1B3" w14:textId="0A957C3D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3.45 ± 3.4%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11351040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4AF1E798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B36BC1">
        <w:rPr>
          <w:b/>
          <w:bCs/>
          <w:noProof/>
        </w:rPr>
        <w:lastRenderedPageBreak/>
        <w:drawing>
          <wp:inline distT="0" distB="0" distL="0" distR="0" wp14:anchorId="06F2C1D8" wp14:editId="4537A26B">
            <wp:extent cx="5853600" cy="3304032"/>
            <wp:effectExtent l="0" t="0" r="0" b="0"/>
            <wp:docPr id="883472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250989A6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2.15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D234550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F25C2A4" w:rsidR="008855A3" w:rsidRPr="002E1508" w:rsidRDefault="002E1508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5BBAC45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25DE1029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46CC3B8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6AC0F96F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E5C85A9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45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4942F8F6" w:rsidR="008855A3" w:rsidRPr="000941DE" w:rsidRDefault="00B975B2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 xml:space="preserve"> 1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5AC3B2F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35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2CF653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2F71B6DE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7AC7E5E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19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7E1B5B24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04B31B78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0405D4A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20F1D9D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2813AFB4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2DB20CA0" w14:textId="77777777" w:rsidR="000941DE" w:rsidRDefault="000941DE" w:rsidP="00C37D8F">
      <w:pPr>
        <w:rPr>
          <w:lang w:val="sl-SI"/>
        </w:rPr>
      </w:pPr>
    </w:p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  <w:lang w:val="en-SI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  <w:lang w:val="en-SI"/>
        </w:rPr>
        <w:t>čez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vse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lokacije</w:t>
      </w:r>
      <w:proofErr w:type="spellEnd"/>
      <w:r w:rsidR="008673EE">
        <w:rPr>
          <w:sz w:val="20"/>
          <w:szCs w:val="20"/>
          <w:lang w:val="en-SI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  <w:lang w:val="en-SI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3D80958D" w:rsidR="000941DE" w:rsidRPr="00C37D8F" w:rsidRDefault="000941DE" w:rsidP="0048376F">
            <w:pPr>
              <w:jc w:val="center"/>
              <w:rPr>
                <w:sz w:val="20"/>
                <w:szCs w:val="20"/>
              </w:rPr>
            </w:pPr>
            <w:r w:rsidRPr="000941DE">
              <w:rPr>
                <w:sz w:val="20"/>
                <w:szCs w:val="20"/>
              </w:rPr>
              <w:t>34 ± 5.1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081E0DF9" w:rsidR="000941DE" w:rsidRPr="000941DE" w:rsidRDefault="000941DE" w:rsidP="0048376F">
            <w:pPr>
              <w:jc w:val="center"/>
              <w:rPr>
                <w:sz w:val="20"/>
                <w:szCs w:val="20"/>
                <w:lang w:val="en-SI"/>
              </w:rPr>
            </w:pPr>
            <w:r w:rsidRPr="000941DE">
              <w:rPr>
                <w:sz w:val="20"/>
                <w:szCs w:val="20"/>
                <w:lang w:val="en-SI"/>
              </w:rPr>
              <w:t>7 ± 2.29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0DCEAF74" w14:textId="3FC385D3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520E1F14" w14:textId="6E134161" w:rsidR="00D30352" w:rsidRDefault="00F1785F" w:rsidP="0025290F">
      <w:pPr>
        <w:jc w:val="center"/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5DF1303B" wp14:editId="594EF5C6">
            <wp:extent cx="5853600" cy="3304032"/>
            <wp:effectExtent l="0" t="0" r="0" b="0"/>
            <wp:docPr id="1775395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0979554A" w14:textId="294CBAEB" w:rsidR="00335D37" w:rsidRDefault="00335D37" w:rsidP="004B6D3B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Število</w:t>
      </w:r>
      <w:proofErr w:type="spellEnd"/>
      <w:r>
        <w:rPr>
          <w:sz w:val="20"/>
          <w:szCs w:val="20"/>
          <w:lang w:val="en-SI"/>
        </w:rPr>
        <w:t>/</w:t>
      </w:r>
      <w:proofErr w:type="spellStart"/>
      <w:r>
        <w:rPr>
          <w:sz w:val="20"/>
          <w:szCs w:val="20"/>
          <w:lang w:val="en-SI"/>
        </w:rPr>
        <w:t>procent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recidivov</w:t>
      </w:r>
      <w:proofErr w:type="spellEnd"/>
      <w:r w:rsidR="0017307D">
        <w:rPr>
          <w:sz w:val="20"/>
          <w:szCs w:val="20"/>
          <w:lang w:val="en-SI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  <w:lang w:val="en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55B6A8CB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2.32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2D5908BB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372880A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8.49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0E62998F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35D37">
              <w:rPr>
                <w:sz w:val="20"/>
                <w:szCs w:val="20"/>
              </w:rPr>
              <w:t>.3</w:t>
            </w:r>
            <w:r>
              <w:rPr>
                <w:sz w:val="20"/>
                <w:szCs w:val="20"/>
              </w:rPr>
              <w:t>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7.67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06B0ADF4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597B36">
              <w:rPr>
                <w:sz w:val="20"/>
                <w:szCs w:val="20"/>
              </w:rPr>
              <w:t>5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 w:val="en-SI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3BB81A7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0D28947E" w:rsidR="004B6D3B" w:rsidRDefault="00A7099A" w:rsidP="004B6D3B">
      <w:pPr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660C9F15" wp14:editId="59C0ECF2">
            <wp:extent cx="5853600" cy="3298608"/>
            <wp:effectExtent l="0" t="0" r="0" b="0"/>
            <wp:docPr id="1116173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08427062" w14:textId="77777777" w:rsidR="0017307D" w:rsidRDefault="0017307D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0C7BE665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 xml:space="preserve">Ali so pacienti z recidivom imeli v povprečju </w:t>
      </w:r>
      <w:proofErr w:type="spellStart"/>
      <w:r w:rsidRPr="00AB6EF1">
        <w:rPr>
          <w:i/>
          <w:iCs/>
          <w:sz w:val="20"/>
          <w:szCs w:val="20"/>
          <w:lang w:val="sl-SI"/>
        </w:rPr>
        <w:t>rekonektiranih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625E4F4D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701EC2A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01244">
              <w:rPr>
                <w:sz w:val="20"/>
                <w:szCs w:val="20"/>
              </w:rPr>
              <w:t>94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proofErr w:type="spellStart"/>
      <w:r>
        <w:rPr>
          <w:i/>
          <w:iCs/>
          <w:sz w:val="20"/>
          <w:szCs w:val="20"/>
          <w:lang w:val="sl-SI"/>
        </w:rPr>
        <w:t>dormantov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2E397582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3BB16738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24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218F13A2" w14:textId="3D05627F" w:rsidR="00EF4DFE" w:rsidRPr="00EF4DFE" w:rsidRDefault="00EF4DFE" w:rsidP="00A65259">
      <w:pPr>
        <w:rPr>
          <w:lang w:val="en-SI"/>
        </w:rPr>
      </w:pPr>
      <w:r>
        <w:rPr>
          <w:i/>
          <w:iCs/>
          <w:sz w:val="20"/>
          <w:szCs w:val="20"/>
          <w:lang w:val="sl-SI"/>
        </w:rPr>
        <w:t xml:space="preserve">Besedilo ki sledi je verjetno strokovno in </w:t>
      </w:r>
      <w:proofErr w:type="spellStart"/>
      <w:r>
        <w:rPr>
          <w:i/>
          <w:iCs/>
          <w:sz w:val="20"/>
          <w:szCs w:val="20"/>
          <w:lang w:val="sl-SI"/>
        </w:rPr>
        <w:t>terminolo</w:t>
      </w:r>
      <w:r>
        <w:rPr>
          <w:i/>
          <w:iCs/>
          <w:sz w:val="20"/>
          <w:szCs w:val="20"/>
          <w:lang w:val="en-SI"/>
        </w:rPr>
        <w:t>ško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precej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napačno</w:t>
      </w:r>
      <w:proofErr w:type="spellEnd"/>
      <w:r>
        <w:rPr>
          <w:i/>
          <w:iCs/>
          <w:sz w:val="20"/>
          <w:szCs w:val="20"/>
          <w:lang w:val="en-SI"/>
        </w:rPr>
        <w:t xml:space="preserve">. To </w:t>
      </w:r>
      <w:proofErr w:type="spellStart"/>
      <w:r>
        <w:rPr>
          <w:i/>
          <w:iCs/>
          <w:sz w:val="20"/>
          <w:szCs w:val="20"/>
          <w:lang w:val="en-SI"/>
        </w:rPr>
        <w:t>morate</w:t>
      </w:r>
      <w:proofErr w:type="spellEnd"/>
      <w:r>
        <w:rPr>
          <w:i/>
          <w:iCs/>
          <w:sz w:val="20"/>
          <w:szCs w:val="20"/>
          <w:lang w:val="en-SI"/>
        </w:rPr>
        <w:t xml:space="preserve"> vi </w:t>
      </w:r>
      <w:proofErr w:type="spellStart"/>
      <w:r>
        <w:rPr>
          <w:i/>
          <w:iCs/>
          <w:sz w:val="20"/>
          <w:szCs w:val="20"/>
          <w:lang w:val="en-SI"/>
        </w:rPr>
        <w:t>urediti</w:t>
      </w:r>
      <w:proofErr w:type="spellEnd"/>
      <w:r>
        <w:rPr>
          <w:i/>
          <w:iCs/>
          <w:sz w:val="20"/>
          <w:szCs w:val="20"/>
          <w:lang w:val="en-SI"/>
        </w:rPr>
        <w:t xml:space="preserve"> :).</w:t>
      </w:r>
    </w:p>
    <w:p w14:paraId="5B5F0501" w14:textId="77777777" w:rsidR="00A67781" w:rsidRDefault="00A67781" w:rsidP="00A65259">
      <w:pPr>
        <w:rPr>
          <w:sz w:val="20"/>
          <w:szCs w:val="20"/>
          <w:lang w:val="sl-SI"/>
        </w:rPr>
      </w:pPr>
    </w:p>
    <w:p w14:paraId="2E5D853C" w14:textId="77777777" w:rsidR="00EF4DFE" w:rsidRDefault="00EF4DFE">
      <w:pPr>
        <w:rPr>
          <w:b/>
          <w:bCs/>
        </w:rPr>
      </w:pPr>
      <w:r>
        <w:rPr>
          <w:b/>
          <w:bCs/>
        </w:rPr>
        <w:t>a.</w:t>
      </w:r>
    </w:p>
    <w:p w14:paraId="5A528CC7" w14:textId="77777777" w:rsidR="00EF4DFE" w:rsidRDefault="00EF4DFE">
      <w:pPr>
        <w:rPr>
          <w:b/>
          <w:bCs/>
        </w:rPr>
      </w:pPr>
    </w:p>
    <w:p w14:paraId="395673E9" w14:textId="77777777" w:rsidR="006314D1" w:rsidRDefault="00EF4DFE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 </w:t>
      </w:r>
      <w:r>
        <w:rPr>
          <w:i/>
          <w:iCs/>
          <w:sz w:val="20"/>
          <w:szCs w:val="20"/>
          <w:lang w:val="sl-SI"/>
        </w:rPr>
        <w:t xml:space="preserve">In total </w:t>
      </w:r>
      <w:proofErr w:type="spellStart"/>
      <w:r>
        <w:rPr>
          <w:i/>
          <w:iCs/>
          <w:sz w:val="20"/>
          <w:szCs w:val="20"/>
          <w:lang w:val="sl-SI"/>
        </w:rPr>
        <w:t>the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high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density</w:t>
      </w:r>
      <w:proofErr w:type="spellEnd"/>
      <w:r>
        <w:rPr>
          <w:i/>
          <w:iCs/>
          <w:sz w:val="20"/>
          <w:szCs w:val="20"/>
          <w:lang w:val="sl-SI"/>
        </w:rPr>
        <w:t xml:space="preserve"> procedure </w:t>
      </w:r>
      <w:proofErr w:type="spellStart"/>
      <w:r>
        <w:rPr>
          <w:i/>
          <w:iCs/>
          <w:sz w:val="20"/>
          <w:szCs w:val="20"/>
          <w:lang w:val="sl-SI"/>
        </w:rPr>
        <w:t>was</w:t>
      </w:r>
      <w:proofErr w:type="spellEnd"/>
      <w:r>
        <w:rPr>
          <w:i/>
          <w:iCs/>
          <w:sz w:val="20"/>
          <w:szCs w:val="20"/>
          <w:lang w:val="sl-SI"/>
        </w:rPr>
        <w:t xml:space="preserve"> used on 29 </w:t>
      </w:r>
      <w:proofErr w:type="spellStart"/>
      <w:r>
        <w:rPr>
          <w:i/>
          <w:iCs/>
          <w:sz w:val="20"/>
          <w:szCs w:val="20"/>
          <w:lang w:val="sl-SI"/>
        </w:rPr>
        <w:t>patients</w:t>
      </w:r>
      <w:proofErr w:type="spellEnd"/>
      <w:r>
        <w:rPr>
          <w:i/>
          <w:iCs/>
          <w:sz w:val="20"/>
          <w:szCs w:val="20"/>
          <w:lang w:val="sl-SI"/>
        </w:rPr>
        <w:t xml:space="preserve">, </w:t>
      </w:r>
      <w:proofErr w:type="spellStart"/>
      <w:r>
        <w:rPr>
          <w:i/>
          <w:iCs/>
          <w:sz w:val="20"/>
          <w:szCs w:val="20"/>
          <w:lang w:val="sl-SI"/>
        </w:rPr>
        <w:t>since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each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patient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has</w:t>
      </w:r>
      <w:proofErr w:type="spellEnd"/>
      <w:r>
        <w:rPr>
          <w:i/>
          <w:iCs/>
          <w:sz w:val="20"/>
          <w:szCs w:val="20"/>
          <w:lang w:val="sl-SI"/>
        </w:rPr>
        <w:t xml:space="preserve"> 12 </w:t>
      </w:r>
      <w:proofErr w:type="spellStart"/>
      <w:r>
        <w:rPr>
          <w:i/>
          <w:iCs/>
          <w:sz w:val="20"/>
          <w:szCs w:val="20"/>
          <w:lang w:val="sl-SI"/>
        </w:rPr>
        <w:t>vein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locations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this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means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that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the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high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density</w:t>
      </w:r>
      <w:proofErr w:type="spellEnd"/>
      <w:r>
        <w:rPr>
          <w:i/>
          <w:iCs/>
          <w:sz w:val="20"/>
          <w:szCs w:val="20"/>
          <w:lang w:val="sl-SI"/>
        </w:rPr>
        <w:t xml:space="preserve"> procedure </w:t>
      </w:r>
      <w:proofErr w:type="spellStart"/>
      <w:r>
        <w:rPr>
          <w:i/>
          <w:iCs/>
          <w:sz w:val="20"/>
          <w:szCs w:val="20"/>
          <w:lang w:val="sl-SI"/>
        </w:rPr>
        <w:t>was</w:t>
      </w:r>
      <w:proofErr w:type="spellEnd"/>
      <w:r>
        <w:rPr>
          <w:i/>
          <w:iCs/>
          <w:sz w:val="20"/>
          <w:szCs w:val="20"/>
          <w:lang w:val="sl-SI"/>
        </w:rPr>
        <w:t xml:space="preserve"> </w:t>
      </w:r>
      <w:proofErr w:type="spellStart"/>
      <w:r>
        <w:rPr>
          <w:i/>
          <w:iCs/>
          <w:sz w:val="20"/>
          <w:szCs w:val="20"/>
          <w:lang w:val="sl-SI"/>
        </w:rPr>
        <w:t>applied</w:t>
      </w:r>
      <w:proofErr w:type="spellEnd"/>
      <w:r>
        <w:rPr>
          <w:i/>
          <w:iCs/>
          <w:sz w:val="20"/>
          <w:szCs w:val="20"/>
          <w:lang w:val="sl-SI"/>
        </w:rPr>
        <w:t xml:space="preserve"> to 348 </w:t>
      </w:r>
      <w:proofErr w:type="spellStart"/>
      <w:r>
        <w:rPr>
          <w:i/>
          <w:iCs/>
          <w:sz w:val="20"/>
          <w:szCs w:val="20"/>
          <w:lang w:val="sl-SI"/>
        </w:rPr>
        <w:t>locations</w:t>
      </w:r>
      <w:proofErr w:type="spellEnd"/>
      <w:r>
        <w:rPr>
          <w:i/>
          <w:iCs/>
          <w:sz w:val="20"/>
          <w:szCs w:val="20"/>
          <w:lang w:val="sl-SI"/>
        </w:rPr>
        <w:t xml:space="preserve"> in total. </w:t>
      </w:r>
      <w:proofErr w:type="spellStart"/>
      <w:r w:rsidR="006314D1">
        <w:rPr>
          <w:i/>
          <w:iCs/>
          <w:sz w:val="20"/>
          <w:szCs w:val="20"/>
          <w:lang w:val="sl-SI"/>
        </w:rPr>
        <w:t>During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first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procedure, </w:t>
      </w:r>
      <w:proofErr w:type="spellStart"/>
      <w:r w:rsidR="006314D1">
        <w:rPr>
          <w:i/>
          <w:iCs/>
          <w:sz w:val="20"/>
          <w:szCs w:val="20"/>
          <w:lang w:val="sl-SI"/>
        </w:rPr>
        <w:t>we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found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35 </w:t>
      </w:r>
      <w:proofErr w:type="spellStart"/>
      <w:r w:rsidR="006314D1">
        <w:rPr>
          <w:i/>
          <w:iCs/>
          <w:sz w:val="20"/>
          <w:szCs w:val="20"/>
          <w:lang w:val="sl-SI"/>
        </w:rPr>
        <w:t>dormants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in total, </w:t>
      </w:r>
      <w:proofErr w:type="spellStart"/>
      <w:r w:rsidR="006314D1">
        <w:rPr>
          <w:i/>
          <w:iCs/>
          <w:sz w:val="20"/>
          <w:szCs w:val="20"/>
          <w:lang w:val="sl-SI"/>
        </w:rPr>
        <w:t>while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we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found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only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7 </w:t>
      </w:r>
      <w:proofErr w:type="spellStart"/>
      <w:r w:rsidR="006314D1">
        <w:rPr>
          <w:i/>
          <w:iCs/>
          <w:sz w:val="20"/>
          <w:szCs w:val="20"/>
          <w:lang w:val="sl-SI"/>
        </w:rPr>
        <w:t>dormants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in total </w:t>
      </w:r>
      <w:proofErr w:type="spellStart"/>
      <w:r w:rsidR="006314D1">
        <w:rPr>
          <w:i/>
          <w:iCs/>
          <w:sz w:val="20"/>
          <w:szCs w:val="20"/>
          <w:lang w:val="sl-SI"/>
        </w:rPr>
        <w:t>during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second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procedure. In </w:t>
      </w:r>
      <w:proofErr w:type="spellStart"/>
      <w:r w:rsidR="006314D1">
        <w:rPr>
          <w:i/>
          <w:iCs/>
          <w:sz w:val="20"/>
          <w:szCs w:val="20"/>
          <w:lang w:val="sl-SI"/>
        </w:rPr>
        <w:t>only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one </w:t>
      </w:r>
      <w:proofErr w:type="spellStart"/>
      <w:r w:rsidR="006314D1">
        <w:rPr>
          <w:i/>
          <w:iCs/>
          <w:sz w:val="20"/>
          <w:szCs w:val="20"/>
          <w:lang w:val="sl-SI"/>
        </w:rPr>
        <w:t>case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dormant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in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second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procedure </w:t>
      </w:r>
      <w:proofErr w:type="spellStart"/>
      <w:r w:rsidR="006314D1">
        <w:rPr>
          <w:i/>
          <w:iCs/>
          <w:sz w:val="20"/>
          <w:szCs w:val="20"/>
          <w:lang w:val="sl-SI"/>
        </w:rPr>
        <w:t>was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found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at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same </w:t>
      </w:r>
      <w:proofErr w:type="spellStart"/>
      <w:r w:rsidR="006314D1">
        <w:rPr>
          <w:i/>
          <w:iCs/>
          <w:sz w:val="20"/>
          <w:szCs w:val="20"/>
          <w:lang w:val="sl-SI"/>
        </w:rPr>
        <w:t>location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as </w:t>
      </w:r>
      <w:proofErr w:type="spellStart"/>
      <w:r w:rsidR="006314D1">
        <w:rPr>
          <w:i/>
          <w:iCs/>
          <w:sz w:val="20"/>
          <w:szCs w:val="20"/>
          <w:lang w:val="sl-SI"/>
        </w:rPr>
        <w:t>during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first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procedure. </w:t>
      </w:r>
      <w:proofErr w:type="spellStart"/>
      <w:r w:rsidR="006314D1">
        <w:rPr>
          <w:i/>
          <w:iCs/>
          <w:sz w:val="20"/>
          <w:szCs w:val="20"/>
          <w:lang w:val="sl-SI"/>
        </w:rPr>
        <w:t>This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means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that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our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results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suggest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that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having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a </w:t>
      </w:r>
      <w:proofErr w:type="spellStart"/>
      <w:r w:rsidR="006314D1">
        <w:rPr>
          <w:i/>
          <w:iCs/>
          <w:sz w:val="20"/>
          <w:szCs w:val="20"/>
          <w:lang w:val="sl-SI"/>
        </w:rPr>
        <w:t>dormant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at one </w:t>
      </w:r>
      <w:proofErr w:type="spellStart"/>
      <w:r w:rsidR="006314D1">
        <w:rPr>
          <w:i/>
          <w:iCs/>
          <w:sz w:val="20"/>
          <w:szCs w:val="20"/>
          <w:lang w:val="sl-SI"/>
        </w:rPr>
        <w:t>location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during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first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procedure </w:t>
      </w:r>
      <w:proofErr w:type="spellStart"/>
      <w:r w:rsidR="006314D1">
        <w:rPr>
          <w:i/>
          <w:iCs/>
          <w:sz w:val="20"/>
          <w:szCs w:val="20"/>
          <w:lang w:val="sl-SI"/>
        </w:rPr>
        <w:t>does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not </w:t>
      </w:r>
      <w:proofErr w:type="spellStart"/>
      <w:r w:rsidR="006314D1">
        <w:rPr>
          <w:i/>
          <w:iCs/>
          <w:sz w:val="20"/>
          <w:szCs w:val="20"/>
          <w:lang w:val="sl-SI"/>
        </w:rPr>
        <w:t>mean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that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patient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will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more </w:t>
      </w:r>
      <w:proofErr w:type="spellStart"/>
      <w:r w:rsidR="006314D1">
        <w:rPr>
          <w:i/>
          <w:iCs/>
          <w:sz w:val="20"/>
          <w:szCs w:val="20"/>
          <w:lang w:val="sl-SI"/>
        </w:rPr>
        <w:t>likely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have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dormant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at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same </w:t>
      </w:r>
      <w:proofErr w:type="spellStart"/>
      <w:r w:rsidR="006314D1">
        <w:rPr>
          <w:i/>
          <w:iCs/>
          <w:sz w:val="20"/>
          <w:szCs w:val="20"/>
          <w:lang w:val="sl-SI"/>
        </w:rPr>
        <w:t>location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during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the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</w:t>
      </w:r>
      <w:proofErr w:type="spellStart"/>
      <w:r w:rsidR="006314D1">
        <w:rPr>
          <w:i/>
          <w:iCs/>
          <w:sz w:val="20"/>
          <w:szCs w:val="20"/>
          <w:lang w:val="sl-SI"/>
        </w:rPr>
        <w:t>second</w:t>
      </w:r>
      <w:proofErr w:type="spellEnd"/>
      <w:r w:rsidR="006314D1">
        <w:rPr>
          <w:i/>
          <w:iCs/>
          <w:sz w:val="20"/>
          <w:szCs w:val="20"/>
          <w:lang w:val="sl-SI"/>
        </w:rPr>
        <w:t xml:space="preserve"> procedure (p &lt; 0.00001).</w:t>
      </w:r>
    </w:p>
    <w:p w14:paraId="35C677D3" w14:textId="77777777" w:rsidR="006314D1" w:rsidRDefault="006314D1">
      <w:pPr>
        <w:rPr>
          <w:i/>
          <w:iCs/>
          <w:sz w:val="20"/>
          <w:szCs w:val="20"/>
          <w:lang w:val="sl-SI"/>
        </w:rPr>
      </w:pPr>
    </w:p>
    <w:p w14:paraId="2C123510" w14:textId="44A980FE" w:rsidR="007273F5" w:rsidRDefault="007273F5">
      <w:pPr>
        <w:rPr>
          <w:b/>
          <w:bCs/>
        </w:rPr>
      </w:pPr>
      <w:r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 w:val="en-SI"/>
        </w:rPr>
      </w:pPr>
      <w:r w:rsidRPr="00CE0AB4">
        <w:rPr>
          <w:sz w:val="20"/>
          <w:szCs w:val="20"/>
          <w:lang w:val="en-SI"/>
        </w:rPr>
        <w:t xml:space="preserve">Ali </w:t>
      </w:r>
      <w:proofErr w:type="spellStart"/>
      <w:r>
        <w:rPr>
          <w:sz w:val="20"/>
          <w:szCs w:val="20"/>
          <w:lang w:val="en-SI"/>
        </w:rPr>
        <w:t>demografski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podatki</w:t>
      </w:r>
      <w:proofErr w:type="spellEnd"/>
      <w:r>
        <w:rPr>
          <w:sz w:val="20"/>
          <w:szCs w:val="20"/>
          <w:lang w:val="en-SI"/>
        </w:rPr>
        <w:t xml:space="preserve"> (J-AH)</w:t>
      </w:r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napoveduje</w:t>
      </w:r>
      <w:r>
        <w:rPr>
          <w:sz w:val="20"/>
          <w:szCs w:val="20"/>
          <w:lang w:val="en-SI"/>
        </w:rPr>
        <w:t>jo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rekonektirane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vene</w:t>
      </w:r>
      <w:proofErr w:type="spellEnd"/>
      <w:r>
        <w:rPr>
          <w:sz w:val="20"/>
          <w:szCs w:val="20"/>
          <w:lang w:val="en-SI"/>
        </w:rPr>
        <w:t xml:space="preserve">. </w:t>
      </w:r>
      <w:proofErr w:type="spellStart"/>
      <w:r>
        <w:rPr>
          <w:sz w:val="20"/>
          <w:szCs w:val="20"/>
          <w:lang w:val="en-SI"/>
        </w:rPr>
        <w:t>Gledamo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stolpec</w:t>
      </w:r>
      <w:proofErr w:type="spellEnd"/>
      <w:r w:rsidRPr="00CE0AB4">
        <w:rPr>
          <w:sz w:val="20"/>
          <w:szCs w:val="20"/>
          <w:lang w:val="en-SI"/>
        </w:rPr>
        <w:t xml:space="preserve"> all 4 veins, 0 </w:t>
      </w:r>
      <w:proofErr w:type="spellStart"/>
      <w:r w:rsidRPr="00CE0AB4">
        <w:rPr>
          <w:sz w:val="20"/>
          <w:szCs w:val="20"/>
          <w:lang w:val="en-SI"/>
        </w:rPr>
        <w:t>pomeni</w:t>
      </w:r>
      <w:proofErr w:type="spellEnd"/>
      <w:r w:rsidRPr="00CE0AB4">
        <w:rPr>
          <w:sz w:val="20"/>
          <w:szCs w:val="20"/>
          <w:lang w:val="en-SI"/>
        </w:rPr>
        <w:t xml:space="preserve"> da je </w:t>
      </w:r>
      <w:proofErr w:type="spellStart"/>
      <w:r w:rsidRPr="00CE0AB4">
        <w:rPr>
          <w:sz w:val="20"/>
          <w:szCs w:val="20"/>
          <w:lang w:val="en-SI"/>
        </w:rPr>
        <w:t>bilo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rekonektirano</w:t>
      </w:r>
      <w:proofErr w:type="spellEnd"/>
      <w:r>
        <w:rPr>
          <w:sz w:val="20"/>
          <w:szCs w:val="20"/>
          <w:lang w:val="en-SI"/>
        </w:rPr>
        <w:t>.</w:t>
      </w:r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Tukaj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gledal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čez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vse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podatke</w:t>
      </w:r>
      <w:proofErr w:type="spellEnd"/>
      <w:r w:rsidR="00B3197B">
        <w:rPr>
          <w:sz w:val="20"/>
          <w:szCs w:val="20"/>
          <w:lang w:val="en-SI"/>
        </w:rPr>
        <w:t xml:space="preserve">, </w:t>
      </w:r>
      <w:proofErr w:type="spellStart"/>
      <w:r w:rsidR="00B3197B">
        <w:rPr>
          <w:sz w:val="20"/>
          <w:szCs w:val="20"/>
          <w:lang w:val="en-SI"/>
        </w:rPr>
        <w:t>nisem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nič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razbijal</w:t>
      </w:r>
      <w:proofErr w:type="spellEnd"/>
      <w:r w:rsidR="00B3197B">
        <w:rPr>
          <w:sz w:val="20"/>
          <w:szCs w:val="20"/>
          <w:lang w:val="en-SI"/>
        </w:rPr>
        <w:t xml:space="preserve"> po </w:t>
      </w:r>
      <w:proofErr w:type="spellStart"/>
      <w:r w:rsidR="00B3197B">
        <w:rPr>
          <w:sz w:val="20"/>
          <w:szCs w:val="20"/>
          <w:lang w:val="en-SI"/>
        </w:rPr>
        <w:t>skupinah</w:t>
      </w:r>
      <w:proofErr w:type="spellEnd"/>
      <w:r w:rsidR="00B3197B">
        <w:rPr>
          <w:sz w:val="20"/>
          <w:szCs w:val="20"/>
          <w:lang w:val="en-SI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  <w:lang w:val="en-SI"/>
        </w:rPr>
      </w:pPr>
    </w:p>
    <w:p w14:paraId="7DD37328" w14:textId="0D7F5F6D" w:rsidR="00CE0AB4" w:rsidRDefault="007C4819" w:rsidP="00CE0AB4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Uporabil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sem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naslednje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demografske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spremenljivke</w:t>
      </w:r>
      <w:proofErr w:type="spellEnd"/>
      <w:r>
        <w:rPr>
          <w:sz w:val="20"/>
          <w:szCs w:val="20"/>
          <w:lang w:val="en-SI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bmi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la_volume_index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la_size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lvedvi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probnp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chf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hypertension_history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age_75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diabetes_history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vascular_disease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age_65_74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cha2ds2vasc</w:t>
      </w:r>
      <w:proofErr w:type="spellEnd"/>
      <w:r>
        <w:rPr>
          <w:sz w:val="20"/>
          <w:szCs w:val="20"/>
          <w:lang w:val="en-SI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 w:val="en-SI"/>
        </w:rPr>
      </w:pPr>
    </w:p>
    <w:p w14:paraId="4CE62A56" w14:textId="7B0CA081" w:rsidR="00B3197B" w:rsidRDefault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 xml:space="preserve">Nič </w:t>
      </w:r>
      <w:proofErr w:type="spellStart"/>
      <w:r>
        <w:rPr>
          <w:sz w:val="20"/>
          <w:szCs w:val="20"/>
          <w:lang w:val="en-SI"/>
        </w:rPr>
        <w:t>pametnega</w:t>
      </w:r>
      <w:proofErr w:type="spellEnd"/>
      <w:r>
        <w:rPr>
          <w:sz w:val="20"/>
          <w:szCs w:val="20"/>
          <w:lang w:val="en-SI"/>
        </w:rPr>
        <w:t xml:space="preserve"> ne </w:t>
      </w:r>
      <w:proofErr w:type="spellStart"/>
      <w:r>
        <w:rPr>
          <w:sz w:val="20"/>
          <w:szCs w:val="20"/>
          <w:lang w:val="en-SI"/>
        </w:rPr>
        <w:t>dobimo</w:t>
      </w:r>
      <w:proofErr w:type="spellEnd"/>
      <w:r>
        <w:rPr>
          <w:sz w:val="20"/>
          <w:szCs w:val="20"/>
          <w:lang w:val="en-SI"/>
        </w:rPr>
        <w:t xml:space="preserve">, BMI </w:t>
      </w:r>
      <w:proofErr w:type="spellStart"/>
      <w:r>
        <w:rPr>
          <w:sz w:val="20"/>
          <w:szCs w:val="20"/>
          <w:lang w:val="en-SI"/>
        </w:rPr>
        <w:t>ima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najnižjo</w:t>
      </w:r>
      <w:proofErr w:type="spellEnd"/>
      <w:r>
        <w:rPr>
          <w:sz w:val="20"/>
          <w:szCs w:val="20"/>
          <w:lang w:val="en-SI"/>
        </w:rPr>
        <w:t xml:space="preserve"> p </w:t>
      </w:r>
      <w:proofErr w:type="spellStart"/>
      <w:r>
        <w:rPr>
          <w:sz w:val="20"/>
          <w:szCs w:val="20"/>
          <w:lang w:val="en-SI"/>
        </w:rPr>
        <w:t>vrednost</w:t>
      </w:r>
      <w:proofErr w:type="spellEnd"/>
      <w:r>
        <w:rPr>
          <w:sz w:val="20"/>
          <w:szCs w:val="20"/>
          <w:lang w:val="en-SI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  <w:lang w:val="en-SI"/>
        </w:rPr>
      </w:pPr>
    </w:p>
    <w:p w14:paraId="4EF3A87D" w14:textId="77777777" w:rsidR="00E4123B" w:rsidRDefault="00E4123B">
      <w:pPr>
        <w:rPr>
          <w:sz w:val="20"/>
          <w:szCs w:val="20"/>
          <w:lang w:val="en-SI"/>
        </w:rPr>
      </w:pPr>
    </w:p>
    <w:p w14:paraId="3658CA3F" w14:textId="4182AAFB" w:rsidR="00CE0AB4" w:rsidRDefault="00CE0AB4" w:rsidP="00A65259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Enako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samo</w:t>
      </w:r>
      <w:proofErr w:type="spellEnd"/>
      <w:r>
        <w:rPr>
          <w:sz w:val="20"/>
          <w:szCs w:val="20"/>
          <w:lang w:val="en-SI"/>
        </w:rPr>
        <w:t xml:space="preserve"> za </w:t>
      </w:r>
      <w:proofErr w:type="spellStart"/>
      <w:r>
        <w:rPr>
          <w:sz w:val="20"/>
          <w:szCs w:val="20"/>
          <w:lang w:val="en-SI"/>
        </w:rPr>
        <w:t>proceduralne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parametre</w:t>
      </w:r>
      <w:proofErr w:type="spellEnd"/>
      <w:r w:rsidR="00B3197B">
        <w:rPr>
          <w:sz w:val="20"/>
          <w:szCs w:val="20"/>
          <w:lang w:val="en-SI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skin_skin_time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la_dwell_time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ablation_time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number_of_rf_lesions_pvi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first_pass_per_patient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all_4_veins_isolated</w:t>
      </w:r>
      <w:proofErr w:type="spellEnd"/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B3197B" w:rsidRDefault="00B3197B" w:rsidP="00B3197B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B3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7087"/>
    <w:rsid w:val="000839A4"/>
    <w:rsid w:val="00085990"/>
    <w:rsid w:val="000941DE"/>
    <w:rsid w:val="000E434F"/>
    <w:rsid w:val="000F2B18"/>
    <w:rsid w:val="000F6EF3"/>
    <w:rsid w:val="001033E4"/>
    <w:rsid w:val="00140108"/>
    <w:rsid w:val="001530CB"/>
    <w:rsid w:val="0015771D"/>
    <w:rsid w:val="00162CD2"/>
    <w:rsid w:val="0017307D"/>
    <w:rsid w:val="001940E7"/>
    <w:rsid w:val="001A77D4"/>
    <w:rsid w:val="001B7790"/>
    <w:rsid w:val="001F68F4"/>
    <w:rsid w:val="002307AD"/>
    <w:rsid w:val="0025290F"/>
    <w:rsid w:val="002556D9"/>
    <w:rsid w:val="002720C4"/>
    <w:rsid w:val="002C64B1"/>
    <w:rsid w:val="002E1508"/>
    <w:rsid w:val="003171DD"/>
    <w:rsid w:val="00335D37"/>
    <w:rsid w:val="00362D39"/>
    <w:rsid w:val="00384531"/>
    <w:rsid w:val="003A2312"/>
    <w:rsid w:val="004028DB"/>
    <w:rsid w:val="00402DE3"/>
    <w:rsid w:val="00420114"/>
    <w:rsid w:val="0042739B"/>
    <w:rsid w:val="00430746"/>
    <w:rsid w:val="00430C53"/>
    <w:rsid w:val="00455C7D"/>
    <w:rsid w:val="00460F94"/>
    <w:rsid w:val="004B033D"/>
    <w:rsid w:val="004B6D3B"/>
    <w:rsid w:val="004C5FC7"/>
    <w:rsid w:val="004D66CC"/>
    <w:rsid w:val="004E1E27"/>
    <w:rsid w:val="00502837"/>
    <w:rsid w:val="00555CBA"/>
    <w:rsid w:val="005637F7"/>
    <w:rsid w:val="00587D4E"/>
    <w:rsid w:val="00597B36"/>
    <w:rsid w:val="005A3397"/>
    <w:rsid w:val="0060713C"/>
    <w:rsid w:val="006314D1"/>
    <w:rsid w:val="0064083C"/>
    <w:rsid w:val="0065080A"/>
    <w:rsid w:val="00653222"/>
    <w:rsid w:val="00663FD6"/>
    <w:rsid w:val="006760CB"/>
    <w:rsid w:val="006A0B68"/>
    <w:rsid w:val="006C1580"/>
    <w:rsid w:val="00706D18"/>
    <w:rsid w:val="00710645"/>
    <w:rsid w:val="007273F5"/>
    <w:rsid w:val="00752317"/>
    <w:rsid w:val="00786C45"/>
    <w:rsid w:val="00795DB2"/>
    <w:rsid w:val="00796421"/>
    <w:rsid w:val="007C4819"/>
    <w:rsid w:val="007D6A4E"/>
    <w:rsid w:val="007E7E6F"/>
    <w:rsid w:val="0085122F"/>
    <w:rsid w:val="00860403"/>
    <w:rsid w:val="008673EE"/>
    <w:rsid w:val="008855A3"/>
    <w:rsid w:val="008C10DC"/>
    <w:rsid w:val="008D7474"/>
    <w:rsid w:val="00914F5D"/>
    <w:rsid w:val="0096194B"/>
    <w:rsid w:val="009624FA"/>
    <w:rsid w:val="00972513"/>
    <w:rsid w:val="0099441F"/>
    <w:rsid w:val="009D2E88"/>
    <w:rsid w:val="00A11664"/>
    <w:rsid w:val="00A41DDB"/>
    <w:rsid w:val="00A45D00"/>
    <w:rsid w:val="00A65259"/>
    <w:rsid w:val="00A65A3F"/>
    <w:rsid w:val="00A67781"/>
    <w:rsid w:val="00A7099A"/>
    <w:rsid w:val="00AB3587"/>
    <w:rsid w:val="00AB6EF1"/>
    <w:rsid w:val="00AE0045"/>
    <w:rsid w:val="00AF7C2A"/>
    <w:rsid w:val="00B2456F"/>
    <w:rsid w:val="00B3197B"/>
    <w:rsid w:val="00B36BC1"/>
    <w:rsid w:val="00B8529F"/>
    <w:rsid w:val="00B96997"/>
    <w:rsid w:val="00B975B2"/>
    <w:rsid w:val="00BA2785"/>
    <w:rsid w:val="00BE07C1"/>
    <w:rsid w:val="00C37D8F"/>
    <w:rsid w:val="00C70157"/>
    <w:rsid w:val="00C87DF3"/>
    <w:rsid w:val="00CB0434"/>
    <w:rsid w:val="00CC4D03"/>
    <w:rsid w:val="00CD211B"/>
    <w:rsid w:val="00CD3377"/>
    <w:rsid w:val="00CE0AB4"/>
    <w:rsid w:val="00CF5F04"/>
    <w:rsid w:val="00D2293C"/>
    <w:rsid w:val="00D30352"/>
    <w:rsid w:val="00D438F5"/>
    <w:rsid w:val="00D6557C"/>
    <w:rsid w:val="00DB5B3A"/>
    <w:rsid w:val="00E36D2E"/>
    <w:rsid w:val="00E4123B"/>
    <w:rsid w:val="00E417DD"/>
    <w:rsid w:val="00E54EC2"/>
    <w:rsid w:val="00E55405"/>
    <w:rsid w:val="00E70594"/>
    <w:rsid w:val="00EB21CC"/>
    <w:rsid w:val="00EC3928"/>
    <w:rsid w:val="00EF4DFE"/>
    <w:rsid w:val="00EF7A8E"/>
    <w:rsid w:val="00F00EBA"/>
    <w:rsid w:val="00F01244"/>
    <w:rsid w:val="00F1785F"/>
    <w:rsid w:val="00F17A6F"/>
    <w:rsid w:val="00FE27A2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7D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88</cp:revision>
  <dcterms:created xsi:type="dcterms:W3CDTF">2024-07-10T06:32:00Z</dcterms:created>
  <dcterms:modified xsi:type="dcterms:W3CDTF">2024-08-06T15:57:00Z</dcterms:modified>
</cp:coreProperties>
</file>