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BFBA3B" w14:textId="6FFDBD54" w:rsidR="003F685A" w:rsidRPr="00D312A8" w:rsidRDefault="003F685A" w:rsidP="003F685A">
      <w:pPr>
        <w:pStyle w:val="a3"/>
        <w:widowControl/>
        <w:numPr>
          <w:ilvl w:val="0"/>
          <w:numId w:val="3"/>
        </w:numPr>
        <w:ind w:firstLineChars="0"/>
        <w:jc w:val="left"/>
        <w:rPr>
          <w:rFonts w:ascii="Calibri" w:eastAsia="宋体" w:hAnsi="Calibri" w:cs="Calibri"/>
          <w:color w:val="000000" w:themeColor="text1"/>
          <w:kern w:val="0"/>
          <w:sz w:val="22"/>
          <w:szCs w:val="22"/>
        </w:rPr>
      </w:pPr>
      <w:r w:rsidRPr="00D312A8">
        <w:rPr>
          <w:rFonts w:ascii="Calibri" w:eastAsia="宋体" w:hAnsi="Calibri" w:cs="Calibri"/>
          <w:color w:val="000000" w:themeColor="text1"/>
          <w:kern w:val="0"/>
          <w:sz w:val="22"/>
          <w:szCs w:val="22"/>
          <w:shd w:val="clear" w:color="auto" w:fill="FFFFFF"/>
        </w:rPr>
        <w:t>Coal prices delivered to power sector nationally 2005 through 2019</w:t>
      </w:r>
    </w:p>
    <w:p w14:paraId="61E2A8F5" w14:textId="0CA5B3E7" w:rsidR="003F685A" w:rsidRPr="00D312A8" w:rsidRDefault="003F685A" w:rsidP="003F685A">
      <w:pPr>
        <w:pStyle w:val="a3"/>
        <w:widowControl/>
        <w:numPr>
          <w:ilvl w:val="1"/>
          <w:numId w:val="3"/>
        </w:numPr>
        <w:ind w:firstLineChars="0"/>
        <w:jc w:val="left"/>
        <w:rPr>
          <w:rFonts w:ascii="Calibri" w:eastAsia="宋体" w:hAnsi="Calibri" w:cs="Calibri"/>
          <w:color w:val="000000" w:themeColor="text1"/>
          <w:kern w:val="0"/>
          <w:sz w:val="22"/>
          <w:szCs w:val="22"/>
        </w:rPr>
      </w:pPr>
      <w:r w:rsidRPr="00D312A8">
        <w:rPr>
          <w:rFonts w:ascii="Calibri" w:eastAsia="宋体" w:hAnsi="Calibri" w:cs="Calibri"/>
          <w:color w:val="000000" w:themeColor="text1"/>
          <w:kern w:val="0"/>
          <w:sz w:val="22"/>
          <w:szCs w:val="22"/>
        </w:rPr>
        <w:t>Prices have remained relatively steady between 2008 and 2019.</w:t>
      </w:r>
    </w:p>
    <w:p w14:paraId="2D711EFB" w14:textId="14294E8D" w:rsidR="00BA1989" w:rsidRPr="00D312A8" w:rsidRDefault="00BA1989" w:rsidP="00BA1989">
      <w:pPr>
        <w:pStyle w:val="a3"/>
        <w:widowControl/>
        <w:numPr>
          <w:ilvl w:val="1"/>
          <w:numId w:val="3"/>
        </w:numPr>
        <w:ind w:firstLineChars="0"/>
        <w:jc w:val="left"/>
        <w:rPr>
          <w:rFonts w:ascii="Calibri" w:eastAsia="宋体" w:hAnsi="Calibri" w:cs="Calibri"/>
          <w:color w:val="000000" w:themeColor="text1"/>
          <w:kern w:val="0"/>
          <w:sz w:val="22"/>
          <w:szCs w:val="22"/>
        </w:rPr>
      </w:pPr>
      <w:r w:rsidRPr="00D312A8">
        <w:rPr>
          <w:rFonts w:ascii="Calibri" w:eastAsia="宋体" w:hAnsi="Calibri" w:cs="Calibri"/>
          <w:color w:val="000000" w:themeColor="text1"/>
          <w:kern w:val="0"/>
          <w:sz w:val="22"/>
          <w:szCs w:val="22"/>
          <w:shd w:val="clear" w:color="auto" w:fill="FFFFFF"/>
        </w:rPr>
        <w:t>Coal Prices. </w:t>
      </w:r>
      <w:r w:rsidRPr="00D312A8">
        <w:rPr>
          <w:rFonts w:ascii="Calibri" w:eastAsia="宋体" w:hAnsi="Calibri" w:cs="Calibri"/>
          <w:color w:val="000000" w:themeColor="text1"/>
          <w:kern w:val="0"/>
          <w:sz w:val="22"/>
          <w:szCs w:val="22"/>
          <w:highlight w:val="yellow"/>
          <w:shd w:val="clear" w:color="auto" w:fill="FFFFFF"/>
        </w:rPr>
        <w:t>EIA estimates the delivered coal price to U.S. electricity generators averaged $1.94 per million British thermal units (MMBtu) in 2020, which was 8 cents/MMBtu lower than the 2019 price. EIA forecasts that coal prices will increase to $2.06/MMBtu in 2021 and $2.07 in 2022</w:t>
      </w:r>
      <w:r w:rsidRPr="00D312A8">
        <w:rPr>
          <w:rFonts w:ascii="Calibri" w:eastAsia="宋体" w:hAnsi="Calibri" w:cs="Calibri"/>
          <w:color w:val="000000" w:themeColor="text1"/>
          <w:kern w:val="0"/>
          <w:sz w:val="22"/>
          <w:szCs w:val="22"/>
          <w:shd w:val="clear" w:color="auto" w:fill="FFFFFF"/>
        </w:rPr>
        <w:t xml:space="preserve"> [1]</w:t>
      </w:r>
      <w:r w:rsidRPr="00D312A8">
        <w:rPr>
          <w:rFonts w:ascii="Calibri" w:eastAsia="宋体" w:hAnsi="Calibri" w:cs="Calibri"/>
          <w:color w:val="000000" w:themeColor="text1"/>
          <w:kern w:val="0"/>
          <w:sz w:val="22"/>
          <w:szCs w:val="22"/>
          <w:shd w:val="clear" w:color="auto" w:fill="FFFFFF"/>
        </w:rPr>
        <w:t>.</w:t>
      </w:r>
    </w:p>
    <w:p w14:paraId="3E5EF53C" w14:textId="77777777" w:rsidR="00E96334" w:rsidRPr="00D312A8" w:rsidRDefault="00B754FA" w:rsidP="00E96334">
      <w:pPr>
        <w:pStyle w:val="a3"/>
        <w:widowControl/>
        <w:numPr>
          <w:ilvl w:val="1"/>
          <w:numId w:val="3"/>
        </w:numPr>
        <w:ind w:firstLineChars="0"/>
        <w:jc w:val="left"/>
        <w:rPr>
          <w:rFonts w:ascii="Calibri" w:eastAsia="宋体" w:hAnsi="Calibri" w:cs="Calibri"/>
          <w:color w:val="000000" w:themeColor="text1"/>
          <w:kern w:val="0"/>
          <w:sz w:val="22"/>
          <w:szCs w:val="22"/>
        </w:rPr>
      </w:pPr>
      <w:r w:rsidRPr="00D312A8">
        <w:rPr>
          <w:rFonts w:ascii="Calibri" w:eastAsia="宋体" w:hAnsi="Calibri" w:cs="Calibri"/>
          <w:color w:val="000000" w:themeColor="text1"/>
          <w:kern w:val="0"/>
          <w:sz w:val="22"/>
          <w:szCs w:val="22"/>
        </w:rPr>
        <w:t xml:space="preserve">Transportation fuel prices for coal deliveries to power plants have decreased during this period, even though the share of coal delivery costs coming from transportation has increased during this time period, showing that transportation has contributed to the decrease in coal prices, but not the only reason.  </w:t>
      </w:r>
    </w:p>
    <w:p w14:paraId="7EF6C77C" w14:textId="1E21FE06" w:rsidR="00BA1989" w:rsidRPr="00D312A8" w:rsidRDefault="00E96334" w:rsidP="00E96334">
      <w:pPr>
        <w:pStyle w:val="a3"/>
        <w:widowControl/>
        <w:numPr>
          <w:ilvl w:val="0"/>
          <w:numId w:val="3"/>
        </w:numPr>
        <w:ind w:firstLineChars="0"/>
        <w:jc w:val="left"/>
        <w:rPr>
          <w:rFonts w:ascii="Calibri" w:eastAsia="宋体" w:hAnsi="Calibri" w:cs="Calibri"/>
          <w:color w:val="000000" w:themeColor="text1"/>
          <w:kern w:val="0"/>
          <w:sz w:val="22"/>
          <w:szCs w:val="22"/>
        </w:rPr>
      </w:pPr>
      <w:r w:rsidRPr="00D312A8">
        <w:rPr>
          <w:rFonts w:ascii="Calibri" w:eastAsia="宋体" w:hAnsi="Calibri" w:cs="Calibri"/>
          <w:color w:val="1D2228"/>
          <w:kern w:val="0"/>
          <w:sz w:val="22"/>
          <w:szCs w:val="22"/>
          <w:shd w:val="clear" w:color="auto" w:fill="FFFFFF"/>
        </w:rPr>
        <w:t>historical average annual Henry Hub natural gas prices from 2005 though 2020</w:t>
      </w:r>
    </w:p>
    <w:p w14:paraId="191AFD2E" w14:textId="3FE332D8" w:rsidR="00E96334" w:rsidRPr="00D312A8" w:rsidRDefault="008F5E45" w:rsidP="00E96334">
      <w:pPr>
        <w:pStyle w:val="a3"/>
        <w:widowControl/>
        <w:numPr>
          <w:ilvl w:val="1"/>
          <w:numId w:val="3"/>
        </w:numPr>
        <w:ind w:firstLineChars="0"/>
        <w:jc w:val="left"/>
        <w:rPr>
          <w:rFonts w:ascii="Calibri" w:eastAsia="宋体" w:hAnsi="Calibri" w:cs="Calibri"/>
          <w:color w:val="000000" w:themeColor="text1"/>
          <w:kern w:val="0"/>
          <w:sz w:val="22"/>
          <w:szCs w:val="22"/>
        </w:rPr>
      </w:pPr>
      <w:r w:rsidRPr="00D312A8">
        <w:rPr>
          <w:rFonts w:ascii="Calibri" w:eastAsia="宋体" w:hAnsi="Calibri" w:cs="Calibri"/>
          <w:color w:val="000000" w:themeColor="text1"/>
          <w:kern w:val="0"/>
          <w:sz w:val="22"/>
          <w:szCs w:val="22"/>
        </w:rPr>
        <w:t>natural gas production has generally increased during this time period [4]</w:t>
      </w:r>
    </w:p>
    <w:p w14:paraId="1023F06E" w14:textId="77777777" w:rsidR="00B403D6" w:rsidRPr="00D312A8" w:rsidRDefault="008F5E45" w:rsidP="00E96334">
      <w:pPr>
        <w:pStyle w:val="a3"/>
        <w:widowControl/>
        <w:numPr>
          <w:ilvl w:val="1"/>
          <w:numId w:val="3"/>
        </w:numPr>
        <w:ind w:firstLineChars="0"/>
        <w:jc w:val="left"/>
        <w:rPr>
          <w:rFonts w:ascii="Calibri" w:eastAsia="宋体" w:hAnsi="Calibri" w:cs="Calibri"/>
          <w:color w:val="000000" w:themeColor="text1"/>
          <w:kern w:val="0"/>
          <w:sz w:val="22"/>
          <w:szCs w:val="22"/>
        </w:rPr>
      </w:pPr>
      <w:r w:rsidRPr="00D312A8">
        <w:rPr>
          <w:rFonts w:ascii="Calibri" w:eastAsia="宋体" w:hAnsi="Calibri" w:cs="Calibri"/>
          <w:color w:val="000000" w:themeColor="text1"/>
          <w:kern w:val="0"/>
          <w:sz w:val="22"/>
          <w:szCs w:val="22"/>
        </w:rPr>
        <w:t xml:space="preserve">technological advances in hydraulic fracturing and horizontal drilling has allowed for production in previously inaccessible shale gas formations, resulting in a boom in natural gas production, despite </w:t>
      </w:r>
      <w:r w:rsidR="0085700E" w:rsidRPr="00D312A8">
        <w:rPr>
          <w:rFonts w:ascii="Calibri" w:eastAsia="宋体" w:hAnsi="Calibri" w:cs="Calibri"/>
          <w:color w:val="000000" w:themeColor="text1"/>
          <w:kern w:val="0"/>
          <w:sz w:val="22"/>
          <w:szCs w:val="22"/>
        </w:rPr>
        <w:t>a reduction in active natural gas rigs</w:t>
      </w:r>
      <w:r w:rsidR="00B403D6" w:rsidRPr="00D312A8">
        <w:rPr>
          <w:rFonts w:ascii="Calibri" w:eastAsia="宋体" w:hAnsi="Calibri" w:cs="Calibri"/>
          <w:color w:val="000000" w:themeColor="text1"/>
          <w:kern w:val="0"/>
          <w:sz w:val="22"/>
          <w:szCs w:val="22"/>
        </w:rPr>
        <w:t xml:space="preserve"> [5]</w:t>
      </w:r>
    </w:p>
    <w:p w14:paraId="2F88B770" w14:textId="77777777" w:rsidR="00B403D6" w:rsidRPr="00D312A8" w:rsidRDefault="00B403D6" w:rsidP="00B403D6">
      <w:pPr>
        <w:pStyle w:val="a3"/>
        <w:widowControl/>
        <w:numPr>
          <w:ilvl w:val="0"/>
          <w:numId w:val="3"/>
        </w:numPr>
        <w:ind w:firstLineChars="0"/>
        <w:jc w:val="left"/>
        <w:rPr>
          <w:rFonts w:ascii="Calibri" w:eastAsia="宋体" w:hAnsi="Calibri" w:cs="Calibri"/>
          <w:kern w:val="0"/>
          <w:sz w:val="22"/>
          <w:szCs w:val="22"/>
        </w:rPr>
      </w:pPr>
      <w:r w:rsidRPr="00D312A8">
        <w:rPr>
          <w:rFonts w:ascii="Calibri" w:eastAsia="宋体" w:hAnsi="Calibri" w:cs="Calibri"/>
          <w:color w:val="1D2228"/>
          <w:kern w:val="0"/>
          <w:sz w:val="22"/>
          <w:szCs w:val="22"/>
          <w:shd w:val="clear" w:color="auto" w:fill="FFFFFF"/>
        </w:rPr>
        <w:t>Annual coal and natural gas electricity generation (Megawatt-hours) from 2005 through 2019</w:t>
      </w:r>
    </w:p>
    <w:p w14:paraId="24003C95" w14:textId="28CA8D7D" w:rsidR="00D312A8" w:rsidRPr="00D312A8" w:rsidRDefault="00D312A8" w:rsidP="00D312A8">
      <w:pPr>
        <w:pStyle w:val="a3"/>
        <w:widowControl/>
        <w:numPr>
          <w:ilvl w:val="1"/>
          <w:numId w:val="3"/>
        </w:numPr>
        <w:ind w:firstLineChars="0"/>
        <w:jc w:val="left"/>
        <w:rPr>
          <w:rFonts w:ascii="Calibri" w:eastAsia="宋体" w:hAnsi="Calibri" w:cs="Calibri"/>
          <w:color w:val="000000" w:themeColor="text1"/>
          <w:kern w:val="0"/>
          <w:sz w:val="22"/>
          <w:szCs w:val="22"/>
        </w:rPr>
      </w:pPr>
      <w:r w:rsidRPr="00D312A8">
        <w:rPr>
          <w:rFonts w:ascii="Calibri" w:eastAsia="宋体" w:hAnsi="Calibri" w:cs="Calibri"/>
          <w:color w:val="000000" w:themeColor="text1"/>
          <w:kern w:val="0"/>
          <w:sz w:val="22"/>
          <w:szCs w:val="22"/>
        </w:rPr>
        <w:t>Reduced natural gas prices have led to a steady replacement of coal fired power plants with natural gas plants</w:t>
      </w:r>
    </w:p>
    <w:p w14:paraId="5E5DD2FB" w14:textId="5DDF00D8" w:rsidR="00D312A8" w:rsidRPr="003969B6" w:rsidRDefault="00D312A8" w:rsidP="00D312A8">
      <w:pPr>
        <w:pStyle w:val="a3"/>
        <w:widowControl/>
        <w:numPr>
          <w:ilvl w:val="1"/>
          <w:numId w:val="3"/>
        </w:numPr>
        <w:ind w:firstLineChars="0"/>
        <w:jc w:val="left"/>
        <w:rPr>
          <w:rFonts w:ascii="Calibri" w:eastAsia="宋体" w:hAnsi="Calibri" w:cs="Calibri"/>
          <w:color w:val="000000" w:themeColor="text1"/>
          <w:kern w:val="0"/>
          <w:sz w:val="22"/>
          <w:szCs w:val="22"/>
          <w:highlight w:val="yellow"/>
        </w:rPr>
      </w:pPr>
      <w:r w:rsidRPr="00D312A8">
        <w:rPr>
          <w:rFonts w:ascii="Calibri" w:eastAsia="宋体" w:hAnsi="Calibri" w:cs="Calibri"/>
          <w:color w:val="101010"/>
          <w:kern w:val="0"/>
          <w:sz w:val="22"/>
          <w:szCs w:val="22"/>
          <w:highlight w:val="yellow"/>
          <w:shd w:val="clear" w:color="auto" w:fill="FAFAFA"/>
        </w:rPr>
        <w:t>A recovery in domestic coal demand is not likely. Inexpensive natural gas and renewable power are not going away. New coal-fired generation capacity is much more expensive to build and more difficult to site and permit than natural gas or renewable facilities. Uncertainty about the future of climate and environmental regulation adds to the challenge, along with the potential that older coal plants will become obsolete and the potential need for significant investments for them to remain operable.</w:t>
      </w:r>
      <w:r w:rsidR="003969B6">
        <w:rPr>
          <w:rFonts w:ascii="Calibri" w:eastAsia="宋体" w:hAnsi="Calibri" w:cs="Calibri"/>
          <w:color w:val="101010"/>
          <w:kern w:val="0"/>
          <w:sz w:val="22"/>
          <w:szCs w:val="22"/>
          <w:highlight w:val="yellow"/>
          <w:shd w:val="clear" w:color="auto" w:fill="FAFAFA"/>
        </w:rPr>
        <w:t xml:space="preserve"> [6]</w:t>
      </w:r>
    </w:p>
    <w:p w14:paraId="6FBD2C2F" w14:textId="3A0D6CA2" w:rsidR="003969B6" w:rsidRPr="007958D8" w:rsidRDefault="003969B6" w:rsidP="003969B6">
      <w:pPr>
        <w:pStyle w:val="a3"/>
        <w:widowControl/>
        <w:numPr>
          <w:ilvl w:val="1"/>
          <w:numId w:val="3"/>
        </w:numPr>
        <w:ind w:firstLineChars="0"/>
        <w:jc w:val="left"/>
        <w:rPr>
          <w:rFonts w:ascii="Calibri" w:eastAsia="宋体" w:hAnsi="Calibri" w:cs="Calibri"/>
          <w:color w:val="000000" w:themeColor="text1"/>
          <w:kern w:val="0"/>
          <w:sz w:val="22"/>
          <w:szCs w:val="22"/>
          <w:highlight w:val="red"/>
        </w:rPr>
      </w:pPr>
      <w:r w:rsidRPr="003969B6">
        <w:rPr>
          <w:rFonts w:ascii="Calibri" w:eastAsia="宋体" w:hAnsi="Calibri" w:cs="Calibri"/>
          <w:color w:val="101010"/>
          <w:kern w:val="0"/>
          <w:sz w:val="22"/>
          <w:szCs w:val="22"/>
          <w:highlight w:val="red"/>
          <w:shd w:val="clear" w:color="auto" w:fill="FAFAFA"/>
        </w:rPr>
        <w:t>Read this article [7]</w:t>
      </w:r>
    </w:p>
    <w:p w14:paraId="31FEF151" w14:textId="67443F09" w:rsidR="00D312A8" w:rsidRPr="00032C60" w:rsidRDefault="007958D8" w:rsidP="007958D8">
      <w:pPr>
        <w:pStyle w:val="a3"/>
        <w:widowControl/>
        <w:numPr>
          <w:ilvl w:val="0"/>
          <w:numId w:val="3"/>
        </w:numPr>
        <w:ind w:firstLineChars="0"/>
        <w:jc w:val="left"/>
        <w:rPr>
          <w:rFonts w:ascii="Calibri" w:eastAsia="宋体" w:hAnsi="Calibri" w:cs="Calibri"/>
          <w:kern w:val="0"/>
          <w:sz w:val="22"/>
          <w:szCs w:val="22"/>
        </w:rPr>
      </w:pPr>
      <w:r w:rsidRPr="00E4553C">
        <w:rPr>
          <w:rFonts w:ascii="Calibri" w:eastAsia="宋体" w:hAnsi="Calibri" w:cs="Calibri"/>
          <w:color w:val="1D2228"/>
          <w:kern w:val="0"/>
          <w:sz w:val="22"/>
          <w:szCs w:val="22"/>
          <w:shd w:val="clear" w:color="auto" w:fill="FFFFFF"/>
        </w:rPr>
        <w:t>Projected annual Henry Hub natural gas prices from 2021 through 2040</w:t>
      </w:r>
    </w:p>
    <w:p w14:paraId="4353135C" w14:textId="77777777" w:rsidR="008113B5" w:rsidRDefault="00F34DEA" w:rsidP="008113B5">
      <w:pPr>
        <w:pStyle w:val="a3"/>
        <w:widowControl/>
        <w:numPr>
          <w:ilvl w:val="1"/>
          <w:numId w:val="3"/>
        </w:numPr>
        <w:ind w:firstLineChars="0"/>
        <w:jc w:val="left"/>
        <w:rPr>
          <w:rFonts w:ascii="Calibri" w:eastAsia="宋体" w:hAnsi="Calibri" w:cs="Calibri"/>
          <w:kern w:val="0"/>
          <w:sz w:val="22"/>
          <w:szCs w:val="22"/>
          <w:highlight w:val="yellow"/>
        </w:rPr>
      </w:pPr>
      <w:r w:rsidRPr="00F34DEA">
        <w:rPr>
          <w:rFonts w:ascii="Calibri" w:eastAsia="宋体" w:hAnsi="Calibri" w:cs="Calibri"/>
          <w:kern w:val="0"/>
          <w:sz w:val="22"/>
          <w:szCs w:val="22"/>
          <w:highlight w:val="yellow"/>
        </w:rPr>
        <w:t>Electricity generation from natural gas and renewables increases as a result of lower natural gas prices and declining costs of solar and wind renewable capacity, making these fuels increasingly competitive</w:t>
      </w:r>
      <w:r>
        <w:rPr>
          <w:rFonts w:ascii="Calibri" w:eastAsia="宋体" w:hAnsi="Calibri" w:cs="Calibri"/>
          <w:kern w:val="0"/>
          <w:sz w:val="22"/>
          <w:szCs w:val="22"/>
          <w:highlight w:val="yellow"/>
        </w:rPr>
        <w:t xml:space="preserve"> [9]</w:t>
      </w:r>
    </w:p>
    <w:p w14:paraId="0DD50CB5" w14:textId="77777777" w:rsidR="007D4677" w:rsidRDefault="008113B5" w:rsidP="007D4677">
      <w:pPr>
        <w:pStyle w:val="a3"/>
        <w:widowControl/>
        <w:numPr>
          <w:ilvl w:val="1"/>
          <w:numId w:val="3"/>
        </w:numPr>
        <w:ind w:firstLineChars="0"/>
        <w:jc w:val="left"/>
        <w:rPr>
          <w:rFonts w:ascii="Calibri" w:eastAsia="宋体" w:hAnsi="Calibri" w:cs="Calibri"/>
          <w:kern w:val="0"/>
          <w:sz w:val="22"/>
          <w:szCs w:val="22"/>
          <w:highlight w:val="yellow"/>
        </w:rPr>
      </w:pPr>
      <w:r w:rsidRPr="008113B5">
        <w:rPr>
          <w:rFonts w:ascii="Calibri" w:eastAsia="宋体" w:hAnsi="Calibri" w:cs="Calibri"/>
          <w:kern w:val="0"/>
          <w:sz w:val="22"/>
          <w:szCs w:val="22"/>
          <w:highlight w:val="yellow"/>
        </w:rPr>
        <w:t>U.S. natural gas production grows at a faster rate than consumption in most cases after 2020, leading to an increase in U.S. exports of natural gas. The exception is in the AEO2020 Low Oil and Gas Supply case, where production and consumption remain relatively flat as a result of higher production costs</w:t>
      </w:r>
      <w:r>
        <w:rPr>
          <w:rFonts w:ascii="Calibri" w:eastAsia="宋体" w:hAnsi="Calibri" w:cs="Calibri"/>
          <w:kern w:val="0"/>
          <w:sz w:val="22"/>
          <w:szCs w:val="22"/>
          <w:highlight w:val="yellow"/>
        </w:rPr>
        <w:t xml:space="preserve"> [10]</w:t>
      </w:r>
      <w:r w:rsidRPr="008113B5">
        <w:rPr>
          <w:rFonts w:ascii="Calibri" w:eastAsia="宋体" w:hAnsi="Calibri" w:cs="Calibri"/>
          <w:kern w:val="0"/>
          <w:sz w:val="22"/>
          <w:szCs w:val="22"/>
          <w:highlight w:val="yellow"/>
        </w:rPr>
        <w:t>.</w:t>
      </w:r>
    </w:p>
    <w:p w14:paraId="0DF3EA17" w14:textId="77777777" w:rsidR="007D4677" w:rsidRDefault="007D4677" w:rsidP="007D4677">
      <w:pPr>
        <w:pStyle w:val="a3"/>
        <w:widowControl/>
        <w:numPr>
          <w:ilvl w:val="1"/>
          <w:numId w:val="3"/>
        </w:numPr>
        <w:ind w:firstLineChars="0"/>
        <w:jc w:val="left"/>
        <w:rPr>
          <w:rFonts w:ascii="Calibri" w:eastAsia="宋体" w:hAnsi="Calibri" w:cs="Calibri"/>
          <w:kern w:val="0"/>
          <w:sz w:val="22"/>
          <w:szCs w:val="22"/>
          <w:highlight w:val="yellow"/>
        </w:rPr>
      </w:pPr>
      <w:r w:rsidRPr="007D4677">
        <w:rPr>
          <w:rFonts w:ascii="Calibri" w:eastAsia="宋体" w:hAnsi="Calibri" w:cs="Calibri"/>
          <w:kern w:val="0"/>
          <w:sz w:val="22"/>
          <w:szCs w:val="22"/>
          <w:highlight w:val="yellow"/>
        </w:rPr>
        <w:t>In the AEO2020 Reference case, growing demand in domestic and export markets leads to increasing natural gas spot prices at the U.S. benchmark Henry Hub through 2050 despite continued technological advances that support increased production</w:t>
      </w:r>
      <w:r>
        <w:rPr>
          <w:rFonts w:ascii="Calibri" w:eastAsia="宋体" w:hAnsi="Calibri" w:cs="Calibri"/>
          <w:kern w:val="0"/>
          <w:sz w:val="22"/>
          <w:szCs w:val="22"/>
          <w:highlight w:val="yellow"/>
        </w:rPr>
        <w:t xml:space="preserve"> [10]</w:t>
      </w:r>
      <w:r w:rsidRPr="007D4677">
        <w:rPr>
          <w:rFonts w:ascii="Calibri" w:eastAsia="宋体" w:hAnsi="Calibri" w:cs="Calibri"/>
          <w:kern w:val="0"/>
          <w:sz w:val="22"/>
          <w:szCs w:val="22"/>
          <w:highlight w:val="yellow"/>
        </w:rPr>
        <w:t xml:space="preserve">.  </w:t>
      </w:r>
    </w:p>
    <w:p w14:paraId="7274CDBB" w14:textId="4087EB3C" w:rsidR="007D4677" w:rsidRDefault="007D4677" w:rsidP="007D4677">
      <w:pPr>
        <w:pStyle w:val="a3"/>
        <w:widowControl/>
        <w:numPr>
          <w:ilvl w:val="1"/>
          <w:numId w:val="3"/>
        </w:numPr>
        <w:ind w:firstLineChars="0"/>
        <w:jc w:val="left"/>
        <w:rPr>
          <w:rFonts w:ascii="Calibri" w:eastAsia="宋体" w:hAnsi="Calibri" w:cs="Calibri"/>
          <w:kern w:val="0"/>
          <w:sz w:val="22"/>
          <w:szCs w:val="22"/>
          <w:highlight w:val="yellow"/>
        </w:rPr>
      </w:pPr>
      <w:r w:rsidRPr="007D4677">
        <w:rPr>
          <w:rFonts w:ascii="Calibri" w:eastAsia="宋体" w:hAnsi="Calibri" w:cs="Calibri"/>
          <w:kern w:val="0"/>
          <w:sz w:val="22"/>
          <w:szCs w:val="22"/>
        </w:rPr>
        <w:t xml:space="preserve">Reference Case - </w:t>
      </w:r>
      <w:r w:rsidRPr="007D4677">
        <w:rPr>
          <w:rFonts w:ascii="Calibri" w:eastAsia="宋体" w:hAnsi="Calibri" w:cs="Calibri"/>
          <w:kern w:val="0"/>
          <w:sz w:val="22"/>
          <w:szCs w:val="22"/>
          <w:highlight w:val="yellow"/>
        </w:rPr>
        <w:t>Natural gas prices in the AEO2020 Reference case remain lower than $4 per million British thermal units (MMBtu) through 2050 because of an abundance of lower cost resources, primarily in tight oil plays in the Permian Basin. These lower cost resources allow higher production levels at lower prices during the projection period.</w:t>
      </w:r>
      <w:r>
        <w:rPr>
          <w:rFonts w:ascii="Calibri" w:eastAsia="宋体" w:hAnsi="Calibri" w:cs="Calibri"/>
          <w:kern w:val="0"/>
          <w:sz w:val="22"/>
          <w:szCs w:val="22"/>
          <w:highlight w:val="yellow"/>
        </w:rPr>
        <w:t>[10]</w:t>
      </w:r>
      <w:r w:rsidRPr="007D4677">
        <w:rPr>
          <w:rFonts w:ascii="Calibri" w:eastAsia="宋体" w:hAnsi="Calibri" w:cs="Calibri"/>
          <w:kern w:val="0"/>
          <w:sz w:val="22"/>
          <w:szCs w:val="22"/>
          <w:highlight w:val="yellow"/>
        </w:rPr>
        <w:t xml:space="preserve"> </w:t>
      </w:r>
    </w:p>
    <w:p w14:paraId="3BF0AF61" w14:textId="082F7409" w:rsidR="007D4677" w:rsidRDefault="007D4677" w:rsidP="007D4677">
      <w:pPr>
        <w:pStyle w:val="a3"/>
        <w:widowControl/>
        <w:numPr>
          <w:ilvl w:val="1"/>
          <w:numId w:val="3"/>
        </w:numPr>
        <w:ind w:firstLineChars="0"/>
        <w:jc w:val="left"/>
        <w:rPr>
          <w:rFonts w:ascii="Calibri" w:eastAsia="宋体" w:hAnsi="Calibri" w:cs="Calibri"/>
          <w:kern w:val="0"/>
          <w:sz w:val="22"/>
          <w:szCs w:val="22"/>
          <w:highlight w:val="yellow"/>
        </w:rPr>
      </w:pPr>
      <w:r w:rsidRPr="007D4677">
        <w:rPr>
          <w:rFonts w:ascii="Calibri" w:eastAsia="宋体" w:hAnsi="Calibri" w:cs="Calibri"/>
          <w:kern w:val="0"/>
          <w:sz w:val="22"/>
          <w:szCs w:val="22"/>
        </w:rPr>
        <w:lastRenderedPageBreak/>
        <w:t xml:space="preserve">Fringe High and Low Natural Gas Price Cases </w:t>
      </w:r>
      <w:r>
        <w:rPr>
          <w:rFonts w:ascii="Calibri" w:eastAsia="宋体" w:hAnsi="Calibri" w:cs="Calibri"/>
          <w:kern w:val="0"/>
          <w:sz w:val="22"/>
          <w:szCs w:val="22"/>
          <w:highlight w:val="yellow"/>
        </w:rPr>
        <w:t xml:space="preserve">- </w:t>
      </w:r>
      <w:r w:rsidRPr="007D4677">
        <w:rPr>
          <w:rFonts w:ascii="Calibri" w:eastAsia="宋体" w:hAnsi="Calibri" w:cs="Calibri"/>
          <w:kern w:val="0"/>
          <w:sz w:val="22"/>
          <w:szCs w:val="22"/>
          <w:highlight w:val="yellow"/>
        </w:rPr>
        <w:t xml:space="preserve">The AEO2020 High Oil and Gas Supply case--which reflects lower finding, development, and production costs and greater resource availability--shows an increase in U.S. natural gas production and lower prices relative to the Reference case. In the Low Oil and Gas Supply case, high prices, which result from higher costs and fewer available resources, result in less domestic consumption and exports during the projection period.  </w:t>
      </w:r>
    </w:p>
    <w:p w14:paraId="70CFB625" w14:textId="4DFA3625" w:rsidR="00C92B01" w:rsidRPr="00C92B01" w:rsidRDefault="00C92B01" w:rsidP="00C92B01">
      <w:pPr>
        <w:pStyle w:val="a3"/>
        <w:numPr>
          <w:ilvl w:val="1"/>
          <w:numId w:val="3"/>
        </w:numPr>
        <w:ind w:firstLineChars="0"/>
        <w:rPr>
          <w:rFonts w:ascii="Calibri" w:eastAsia="宋体" w:hAnsi="Calibri" w:cs="Calibri"/>
          <w:kern w:val="0"/>
          <w:sz w:val="22"/>
          <w:szCs w:val="22"/>
          <w:highlight w:val="yellow"/>
        </w:rPr>
      </w:pPr>
      <w:r w:rsidRPr="00C92B01">
        <w:rPr>
          <w:rFonts w:ascii="Calibri" w:eastAsia="宋体" w:hAnsi="Calibri" w:cs="Calibri"/>
          <w:kern w:val="0"/>
          <w:sz w:val="22"/>
          <w:szCs w:val="22"/>
          <w:highlight w:val="yellow"/>
        </w:rPr>
        <w:t>The level of drilling in oil formations primarily depends on crude oil prices rather than natural gas prices. Increased natural gas production from oil-directed drilling puts downward pressure on natural gas prices throughout the projection period.</w:t>
      </w:r>
      <w:r>
        <w:rPr>
          <w:rFonts w:ascii="Calibri" w:eastAsia="宋体" w:hAnsi="Calibri" w:cs="Calibri"/>
          <w:kern w:val="0"/>
          <w:sz w:val="22"/>
          <w:szCs w:val="22"/>
          <w:highlight w:val="yellow"/>
        </w:rPr>
        <w:t>[10]</w:t>
      </w:r>
    </w:p>
    <w:p w14:paraId="1F8338EA" w14:textId="77777777" w:rsidR="00C92B01" w:rsidRPr="007D4677" w:rsidRDefault="00C92B01" w:rsidP="007D4677">
      <w:pPr>
        <w:pStyle w:val="a3"/>
        <w:widowControl/>
        <w:numPr>
          <w:ilvl w:val="1"/>
          <w:numId w:val="3"/>
        </w:numPr>
        <w:ind w:firstLineChars="0"/>
        <w:jc w:val="left"/>
        <w:rPr>
          <w:rFonts w:ascii="Calibri" w:eastAsia="宋体" w:hAnsi="Calibri" w:cs="Calibri"/>
          <w:kern w:val="0"/>
          <w:sz w:val="22"/>
          <w:szCs w:val="22"/>
          <w:highlight w:val="yellow"/>
        </w:rPr>
      </w:pPr>
    </w:p>
    <w:p w14:paraId="04F6BF39" w14:textId="1B9E4EEC" w:rsidR="00F34DEA" w:rsidRPr="00367E1C" w:rsidRDefault="00367E1C" w:rsidP="00367E1C">
      <w:pPr>
        <w:widowControl/>
        <w:jc w:val="left"/>
        <w:rPr>
          <w:rFonts w:ascii="Calibri" w:eastAsia="宋体" w:hAnsi="Calibri" w:cs="Calibri" w:hint="eastAsia"/>
          <w:kern w:val="0"/>
          <w:sz w:val="22"/>
          <w:szCs w:val="22"/>
          <w:highlight w:val="yellow"/>
        </w:rPr>
      </w:pPr>
      <w:r w:rsidRPr="00367E1C">
        <w:rPr>
          <w:rFonts w:ascii="Calibri" w:eastAsia="宋体" w:hAnsi="Calibri" w:cs="Calibri"/>
          <w:kern w:val="0"/>
          <w:sz w:val="22"/>
          <w:szCs w:val="22"/>
        </w:rPr>
        <w:drawing>
          <wp:inline distT="0" distB="0" distL="0" distR="0" wp14:anchorId="2346700E" wp14:editId="60389153">
            <wp:extent cx="5274310" cy="4550410"/>
            <wp:effectExtent l="0" t="0" r="0" b="0"/>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5"/>
                    <a:stretch>
                      <a:fillRect/>
                    </a:stretch>
                  </pic:blipFill>
                  <pic:spPr>
                    <a:xfrm>
                      <a:off x="0" y="0"/>
                      <a:ext cx="5274310" cy="4550410"/>
                    </a:xfrm>
                    <a:prstGeom prst="rect">
                      <a:avLst/>
                    </a:prstGeom>
                  </pic:spPr>
                </pic:pic>
              </a:graphicData>
            </a:graphic>
          </wp:inline>
        </w:drawing>
      </w:r>
    </w:p>
    <w:p w14:paraId="6814B1B2" w14:textId="213E4A94" w:rsidR="00032C60" w:rsidRPr="00032C60" w:rsidRDefault="00032C60" w:rsidP="00032C60">
      <w:pPr>
        <w:widowControl/>
        <w:jc w:val="left"/>
        <w:rPr>
          <w:rFonts w:ascii="Calibri" w:eastAsia="宋体" w:hAnsi="Calibri" w:cs="Calibri" w:hint="eastAsia"/>
          <w:kern w:val="0"/>
          <w:sz w:val="22"/>
          <w:szCs w:val="22"/>
        </w:rPr>
      </w:pPr>
      <w:r w:rsidRPr="007958D8">
        <w:rPr>
          <w:rFonts w:ascii="Calibri" w:eastAsia="宋体" w:hAnsi="Calibri" w:cs="Calibri"/>
          <w:color w:val="000000" w:themeColor="text1"/>
          <w:kern w:val="0"/>
          <w:sz w:val="22"/>
          <w:szCs w:val="22"/>
          <w:shd w:val="clear" w:color="auto" w:fill="FFFFFF"/>
        </w:rPr>
        <w:drawing>
          <wp:inline distT="0" distB="0" distL="0" distR="0" wp14:anchorId="6DBFE10F" wp14:editId="7529FFB8">
            <wp:extent cx="3268493" cy="2042710"/>
            <wp:effectExtent l="0" t="0" r="0" b="2540"/>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6"/>
                    <a:stretch>
                      <a:fillRect/>
                    </a:stretch>
                  </pic:blipFill>
                  <pic:spPr>
                    <a:xfrm>
                      <a:off x="0" y="0"/>
                      <a:ext cx="3276670" cy="2047820"/>
                    </a:xfrm>
                    <a:prstGeom prst="rect">
                      <a:avLst/>
                    </a:prstGeom>
                  </pic:spPr>
                </pic:pic>
              </a:graphicData>
            </a:graphic>
          </wp:inline>
        </w:drawing>
      </w:r>
    </w:p>
    <w:p w14:paraId="5A4DF0AA" w14:textId="61051DAB" w:rsidR="007958D8" w:rsidRPr="007958D8" w:rsidRDefault="007958D8" w:rsidP="007958D8">
      <w:pPr>
        <w:pStyle w:val="a3"/>
        <w:widowControl/>
        <w:numPr>
          <w:ilvl w:val="0"/>
          <w:numId w:val="3"/>
        </w:numPr>
        <w:ind w:firstLineChars="0"/>
        <w:jc w:val="left"/>
        <w:rPr>
          <w:rFonts w:ascii="Calibri" w:eastAsia="宋体" w:hAnsi="Calibri" w:cs="Calibri"/>
          <w:kern w:val="0"/>
          <w:sz w:val="22"/>
          <w:szCs w:val="22"/>
        </w:rPr>
      </w:pPr>
      <w:r>
        <w:rPr>
          <w:rFonts w:ascii="Calibri" w:eastAsia="宋体" w:hAnsi="Calibri" w:cs="Calibri"/>
          <w:color w:val="1D2228"/>
          <w:kern w:val="0"/>
          <w:sz w:val="22"/>
          <w:szCs w:val="22"/>
          <w:shd w:val="clear" w:color="auto" w:fill="FFFFFF"/>
        </w:rPr>
        <w:lastRenderedPageBreak/>
        <w:t>Coal and Natural gas predictions</w:t>
      </w:r>
    </w:p>
    <w:p w14:paraId="3BB2AB97" w14:textId="77777777" w:rsidR="00F34DEA" w:rsidRPr="00F34DEA" w:rsidRDefault="007958D8" w:rsidP="00F34DEA">
      <w:pPr>
        <w:pStyle w:val="a3"/>
        <w:widowControl/>
        <w:numPr>
          <w:ilvl w:val="1"/>
          <w:numId w:val="3"/>
        </w:numPr>
        <w:ind w:firstLineChars="0"/>
        <w:jc w:val="left"/>
        <w:rPr>
          <w:rFonts w:ascii="Calibri" w:eastAsia="宋体" w:hAnsi="Calibri" w:cs="Calibri"/>
          <w:kern w:val="0"/>
          <w:sz w:val="22"/>
          <w:szCs w:val="22"/>
        </w:rPr>
      </w:pPr>
      <w:r>
        <w:rPr>
          <w:rFonts w:ascii="Calibri" w:eastAsia="宋体" w:hAnsi="Calibri" w:cs="Calibri" w:hint="eastAsia"/>
          <w:color w:val="1D2228"/>
          <w:kern w:val="0"/>
          <w:sz w:val="22"/>
          <w:szCs w:val="22"/>
          <w:shd w:val="clear" w:color="auto" w:fill="FFFFFF"/>
        </w:rPr>
        <w:t>C</w:t>
      </w:r>
      <w:r>
        <w:rPr>
          <w:rFonts w:ascii="Calibri" w:eastAsia="宋体" w:hAnsi="Calibri" w:cs="Calibri"/>
          <w:color w:val="1D2228"/>
          <w:kern w:val="0"/>
          <w:sz w:val="22"/>
          <w:szCs w:val="22"/>
          <w:shd w:val="clear" w:color="auto" w:fill="FFFFFF"/>
        </w:rPr>
        <w:t>oal plants typically last for 40 years [8]</w:t>
      </w:r>
    </w:p>
    <w:p w14:paraId="40F67AF5" w14:textId="52584D62" w:rsidR="00F34DEA" w:rsidRPr="00F34DEA" w:rsidRDefault="00343D6C" w:rsidP="00F34DEA">
      <w:pPr>
        <w:pStyle w:val="a3"/>
        <w:widowControl/>
        <w:numPr>
          <w:ilvl w:val="1"/>
          <w:numId w:val="3"/>
        </w:numPr>
        <w:ind w:firstLineChars="0"/>
        <w:jc w:val="left"/>
        <w:rPr>
          <w:rFonts w:ascii="Calibri" w:eastAsia="宋体" w:hAnsi="Calibri" w:cs="Calibri"/>
          <w:kern w:val="0"/>
          <w:sz w:val="22"/>
          <w:szCs w:val="22"/>
          <w:highlight w:val="yellow"/>
        </w:rPr>
      </w:pPr>
      <w:r>
        <w:rPr>
          <w:rFonts w:ascii="Calibri" w:eastAsia="宋体" w:hAnsi="Calibri" w:cs="Calibri"/>
          <w:kern w:val="0"/>
          <w:sz w:val="22"/>
          <w:szCs w:val="22"/>
        </w:rPr>
        <w:t xml:space="preserve">Average Natural Gas Power Plant Growth - </w:t>
      </w:r>
      <w:r>
        <w:rPr>
          <w:rFonts w:ascii="Calibri" w:eastAsia="宋体" w:hAnsi="Calibri" w:cs="Calibri"/>
          <w:kern w:val="0"/>
          <w:sz w:val="22"/>
          <w:szCs w:val="22"/>
          <w:highlight w:val="yellow"/>
        </w:rPr>
        <w:t xml:space="preserve"> </w:t>
      </w:r>
      <w:r w:rsidR="00F34DEA" w:rsidRPr="00F34DEA">
        <w:rPr>
          <w:rFonts w:ascii="Calibri" w:eastAsia="宋体" w:hAnsi="Calibri" w:cs="Calibri"/>
          <w:kern w:val="0"/>
          <w:sz w:val="22"/>
          <w:szCs w:val="22"/>
          <w:highlight w:val="yellow"/>
        </w:rPr>
        <w:t>Although coal-fired and nuclear generation decline through the mid-2020’s as a result of retirements, generation from these sources stabilizes over the longer term as the more economically viable plants remain in service. At projected Reference case prices, natural gas-fired generation is the marginal fuel source to fulfill incremental demand and increases in the later projection years, averaging 0.8% growth per year through 2050</w:t>
      </w:r>
      <w:r w:rsidR="00F34DEA">
        <w:rPr>
          <w:rFonts w:ascii="Calibri" w:eastAsia="宋体" w:hAnsi="Calibri" w:cs="Calibri"/>
          <w:kern w:val="0"/>
          <w:sz w:val="22"/>
          <w:szCs w:val="22"/>
          <w:highlight w:val="yellow"/>
        </w:rPr>
        <w:t xml:space="preserve"> [9]</w:t>
      </w:r>
    </w:p>
    <w:p w14:paraId="3C419F7D" w14:textId="7B4CD31F" w:rsidR="00F34DEA" w:rsidRDefault="00343D6C" w:rsidP="00F34DEA">
      <w:pPr>
        <w:pStyle w:val="a3"/>
        <w:widowControl/>
        <w:numPr>
          <w:ilvl w:val="1"/>
          <w:numId w:val="3"/>
        </w:numPr>
        <w:ind w:firstLineChars="0"/>
        <w:jc w:val="left"/>
        <w:rPr>
          <w:rFonts w:ascii="Calibri" w:eastAsia="宋体" w:hAnsi="Calibri" w:cs="Calibri"/>
          <w:kern w:val="0"/>
          <w:sz w:val="22"/>
          <w:szCs w:val="22"/>
          <w:highlight w:val="yellow"/>
        </w:rPr>
      </w:pPr>
      <w:r>
        <w:rPr>
          <w:rFonts w:ascii="Calibri" w:eastAsia="宋体" w:hAnsi="Calibri" w:cs="Calibri"/>
          <w:kern w:val="0"/>
          <w:sz w:val="22"/>
          <w:szCs w:val="22"/>
        </w:rPr>
        <w:t>High and Low Case</w:t>
      </w:r>
      <w:r>
        <w:rPr>
          <w:rFonts w:ascii="Calibri" w:eastAsia="宋体" w:hAnsi="Calibri" w:cs="Calibri"/>
          <w:kern w:val="0"/>
          <w:sz w:val="22"/>
          <w:szCs w:val="22"/>
        </w:rPr>
        <w:t xml:space="preserve"> Natural Gas Power Plant Growth</w:t>
      </w:r>
      <w:r w:rsidRPr="00F34DEA">
        <w:rPr>
          <w:rFonts w:ascii="Calibri" w:eastAsia="宋体" w:hAnsi="Calibri" w:cs="Calibri"/>
          <w:kern w:val="0"/>
          <w:sz w:val="22"/>
          <w:szCs w:val="22"/>
          <w:highlight w:val="yellow"/>
        </w:rPr>
        <w:t xml:space="preserve"> </w:t>
      </w:r>
      <w:r w:rsidR="00F34DEA" w:rsidRPr="00F34DEA">
        <w:rPr>
          <w:rFonts w:ascii="Calibri" w:eastAsia="宋体" w:hAnsi="Calibri" w:cs="Calibri"/>
          <w:kern w:val="0"/>
          <w:sz w:val="22"/>
          <w:szCs w:val="22"/>
          <w:highlight w:val="yellow"/>
        </w:rPr>
        <w:t>As a result of projected lower natural gas prices in the High Oil and Gas Supply case, natural gas-fired generation increases 1.9% per year through the projection period, reaching a 51% share of the generation mix by 2050.  In contrast, under the projected higher natural gas prices in the Low Oil and Gas Supply case, natural gas-fired generation declines 1.4% per year through 2050, reaching a 19% share of the generation mix by 2050</w:t>
      </w:r>
      <w:r w:rsidR="00F34DEA">
        <w:rPr>
          <w:rFonts w:ascii="Calibri" w:eastAsia="宋体" w:hAnsi="Calibri" w:cs="Calibri"/>
          <w:kern w:val="0"/>
          <w:sz w:val="22"/>
          <w:szCs w:val="22"/>
          <w:highlight w:val="yellow"/>
        </w:rPr>
        <w:t xml:space="preserve"> [9]</w:t>
      </w:r>
      <w:r w:rsidR="00F34DEA" w:rsidRPr="00F34DEA">
        <w:rPr>
          <w:rFonts w:ascii="Calibri" w:eastAsia="宋体" w:hAnsi="Calibri" w:cs="Calibri"/>
          <w:kern w:val="0"/>
          <w:sz w:val="22"/>
          <w:szCs w:val="22"/>
          <w:highlight w:val="yellow"/>
        </w:rPr>
        <w:t>.</w:t>
      </w:r>
    </w:p>
    <w:p w14:paraId="6B848FD9" w14:textId="564AAFE7" w:rsidR="00343D6C" w:rsidRDefault="00343D6C" w:rsidP="00343D6C">
      <w:pPr>
        <w:pStyle w:val="a3"/>
        <w:widowControl/>
        <w:numPr>
          <w:ilvl w:val="1"/>
          <w:numId w:val="3"/>
        </w:numPr>
        <w:ind w:firstLineChars="0"/>
        <w:jc w:val="left"/>
        <w:rPr>
          <w:rFonts w:ascii="Calibri" w:eastAsia="宋体" w:hAnsi="Calibri" w:cs="Calibri"/>
          <w:kern w:val="0"/>
          <w:sz w:val="22"/>
          <w:szCs w:val="22"/>
          <w:highlight w:val="yellow"/>
        </w:rPr>
      </w:pPr>
      <w:r w:rsidRPr="00343D6C">
        <w:rPr>
          <w:rFonts w:ascii="Calibri" w:eastAsia="宋体" w:hAnsi="Calibri" w:cs="Calibri"/>
          <w:kern w:val="0"/>
          <w:sz w:val="22"/>
          <w:szCs w:val="22"/>
        </w:rPr>
        <w:t>Coal Power Plant Retirement Assumptions</w:t>
      </w:r>
      <w:r>
        <w:rPr>
          <w:rFonts w:ascii="Calibri" w:eastAsia="宋体" w:hAnsi="Calibri" w:cs="Calibri"/>
          <w:kern w:val="0"/>
          <w:sz w:val="22"/>
          <w:szCs w:val="22"/>
          <w:highlight w:val="yellow"/>
        </w:rPr>
        <w:t xml:space="preserve"> - </w:t>
      </w:r>
      <w:r w:rsidR="00F34DEA" w:rsidRPr="00F34DEA">
        <w:rPr>
          <w:rFonts w:ascii="Calibri" w:eastAsia="宋体" w:hAnsi="Calibri" w:cs="Calibri"/>
          <w:kern w:val="0"/>
          <w:sz w:val="22"/>
          <w:szCs w:val="22"/>
          <w:highlight w:val="yellow"/>
        </w:rPr>
        <w:t>Most of the electric generation capacity retirements assumed in the AEO2020 Reference case occur by 2025. Although the final schedule will depend upon state-level implementation plans, in AEO2020 EIA assumes that coal-fired plants must either invest in heat rate improvement technologies by 2025 or retire to comply with the Affordable Clean Energy (ACE) rule. Heat rate improvement technologies increase the efficiency of power plants. The remaining coal plants are more efficient and continue to operate throughout the projection period. Low natural gas prices in the early years also contribute to the retirements of coal-fired and nuclear plants because both coal and nuclear generators are  less profitable in these years</w:t>
      </w:r>
      <w:r w:rsidR="00F34DEA">
        <w:rPr>
          <w:rFonts w:ascii="Calibri" w:eastAsia="宋体" w:hAnsi="Calibri" w:cs="Calibri"/>
          <w:kern w:val="0"/>
          <w:sz w:val="22"/>
          <w:szCs w:val="22"/>
          <w:highlight w:val="yellow"/>
        </w:rPr>
        <w:t xml:space="preserve"> [9]</w:t>
      </w:r>
    </w:p>
    <w:p w14:paraId="4174AD15" w14:textId="1DA15A28" w:rsidR="00343D6C" w:rsidRPr="00343D6C" w:rsidRDefault="00343D6C" w:rsidP="00343D6C">
      <w:pPr>
        <w:pStyle w:val="a3"/>
        <w:widowControl/>
        <w:numPr>
          <w:ilvl w:val="1"/>
          <w:numId w:val="3"/>
        </w:numPr>
        <w:ind w:firstLineChars="0"/>
        <w:jc w:val="left"/>
        <w:rPr>
          <w:rFonts w:ascii="Calibri" w:eastAsia="宋体" w:hAnsi="Calibri" w:cs="Calibri" w:hint="eastAsia"/>
          <w:kern w:val="0"/>
          <w:sz w:val="22"/>
          <w:szCs w:val="22"/>
          <w:highlight w:val="yellow"/>
        </w:rPr>
      </w:pPr>
      <w:r w:rsidRPr="00343D6C">
        <w:rPr>
          <w:rFonts w:ascii="Calibri" w:eastAsia="宋体" w:hAnsi="Calibri" w:cs="Calibri"/>
          <w:kern w:val="0"/>
          <w:sz w:val="22"/>
          <w:szCs w:val="22"/>
        </w:rPr>
        <w:t xml:space="preserve">Projected Electricity Growth - </w:t>
      </w:r>
      <w:r w:rsidRPr="00343D6C">
        <w:rPr>
          <w:rFonts w:ascii="Calibri" w:eastAsia="宋体" w:hAnsi="Calibri" w:cs="Calibri"/>
          <w:kern w:val="0"/>
          <w:sz w:val="22"/>
          <w:szCs w:val="22"/>
        </w:rPr>
        <w:t>T</w:t>
      </w:r>
      <w:r w:rsidRPr="00343D6C">
        <w:rPr>
          <w:rFonts w:ascii="Calibri" w:eastAsia="宋体" w:hAnsi="Calibri" w:cs="Calibri"/>
          <w:kern w:val="0"/>
          <w:sz w:val="22"/>
          <w:szCs w:val="22"/>
          <w:highlight w:val="yellow"/>
        </w:rPr>
        <w:t>he annual growth in electricity demand averages about 1% throughout the projection period (2019-2050) in the AEO2020 Reference case.</w:t>
      </w:r>
      <w:r>
        <w:rPr>
          <w:rFonts w:ascii="Calibri" w:eastAsia="宋体" w:hAnsi="Calibri" w:cs="Calibri"/>
          <w:kern w:val="0"/>
          <w:sz w:val="22"/>
          <w:szCs w:val="22"/>
          <w:highlight w:val="yellow"/>
        </w:rPr>
        <w:t xml:space="preserve"> [9]</w:t>
      </w:r>
    </w:p>
    <w:p w14:paraId="14AF8C96" w14:textId="77777777" w:rsidR="00C92B01" w:rsidRPr="00C92B01" w:rsidRDefault="008113B5" w:rsidP="00C92B01">
      <w:pPr>
        <w:pStyle w:val="a3"/>
        <w:widowControl/>
        <w:numPr>
          <w:ilvl w:val="0"/>
          <w:numId w:val="3"/>
        </w:numPr>
        <w:ind w:firstLineChars="0"/>
        <w:jc w:val="left"/>
        <w:rPr>
          <w:rFonts w:ascii="Calibri" w:eastAsia="宋体" w:hAnsi="Calibri" w:cs="Calibri"/>
          <w:kern w:val="0"/>
          <w:sz w:val="22"/>
          <w:szCs w:val="22"/>
        </w:rPr>
      </w:pPr>
      <w:r w:rsidRPr="00C92B01">
        <w:rPr>
          <w:rFonts w:ascii="Calibri" w:eastAsia="宋体" w:hAnsi="Calibri" w:cs="Calibri"/>
          <w:kern w:val="0"/>
          <w:sz w:val="22"/>
          <w:szCs w:val="22"/>
        </w:rPr>
        <w:t>Annual Coal Capacity Retirements</w:t>
      </w:r>
    </w:p>
    <w:p w14:paraId="5A1A86D6" w14:textId="77777777" w:rsidR="00B31DAF" w:rsidRPr="00B31DAF" w:rsidRDefault="00C92B01" w:rsidP="00B31DAF">
      <w:pPr>
        <w:pStyle w:val="a3"/>
        <w:widowControl/>
        <w:numPr>
          <w:ilvl w:val="1"/>
          <w:numId w:val="3"/>
        </w:numPr>
        <w:ind w:firstLineChars="0"/>
        <w:jc w:val="left"/>
        <w:rPr>
          <w:rFonts w:ascii="Calibri" w:eastAsia="宋体" w:hAnsi="Calibri" w:cs="Calibri"/>
          <w:kern w:val="0"/>
          <w:sz w:val="22"/>
          <w:szCs w:val="22"/>
        </w:rPr>
      </w:pPr>
      <w:r w:rsidRPr="00C92B01">
        <w:rPr>
          <w:rFonts w:ascii="Calibri" w:eastAsia="宋体" w:hAnsi="Calibri" w:cs="Calibri"/>
          <w:color w:val="333333"/>
          <w:kern w:val="0"/>
          <w:sz w:val="22"/>
          <w:szCs w:val="22"/>
          <w:shd w:val="clear" w:color="auto" w:fill="FBFBF9"/>
        </w:rPr>
        <w:t>That’s largely because of the shale gas revolution, which suddenly made natural gas cheaper than coal for generating electricity.</w:t>
      </w:r>
      <w:r>
        <w:rPr>
          <w:rFonts w:ascii="Calibri" w:eastAsia="宋体" w:hAnsi="Calibri" w:cs="Calibri"/>
          <w:color w:val="333333"/>
          <w:kern w:val="0"/>
          <w:sz w:val="22"/>
          <w:szCs w:val="22"/>
          <w:shd w:val="clear" w:color="auto" w:fill="FBFBF9"/>
        </w:rPr>
        <w:t xml:space="preserve"> [8]</w:t>
      </w:r>
    </w:p>
    <w:p w14:paraId="766B13F9" w14:textId="77777777" w:rsidR="00B31DAF" w:rsidRPr="00B31DAF" w:rsidRDefault="00B31DAF" w:rsidP="00B31DAF">
      <w:pPr>
        <w:pStyle w:val="a3"/>
        <w:widowControl/>
        <w:numPr>
          <w:ilvl w:val="1"/>
          <w:numId w:val="3"/>
        </w:numPr>
        <w:ind w:firstLineChars="0"/>
        <w:jc w:val="left"/>
        <w:rPr>
          <w:rFonts w:ascii="Calibri" w:eastAsia="宋体" w:hAnsi="Calibri" w:cs="Calibri"/>
          <w:kern w:val="0"/>
          <w:sz w:val="22"/>
          <w:szCs w:val="22"/>
        </w:rPr>
      </w:pPr>
      <w:r w:rsidRPr="00B31DAF">
        <w:rPr>
          <w:rFonts w:ascii="Arial" w:eastAsia="宋体" w:hAnsi="Arial" w:cs="Arial"/>
          <w:color w:val="494949"/>
          <w:kern w:val="0"/>
          <w:sz w:val="23"/>
          <w:szCs w:val="23"/>
          <w:shd w:val="clear" w:color="auto" w:fill="FFFFFF"/>
        </w:rPr>
        <w:t>Lower than expected demand meant excess generating capacity and a smaller market in which coal plants could compete</w:t>
      </w:r>
      <w:r>
        <w:rPr>
          <w:rFonts w:ascii="Arial" w:eastAsia="宋体" w:hAnsi="Arial" w:cs="Arial"/>
          <w:color w:val="494949"/>
          <w:kern w:val="0"/>
          <w:sz w:val="23"/>
          <w:szCs w:val="23"/>
          <w:shd w:val="clear" w:color="auto" w:fill="FFFFFF"/>
        </w:rPr>
        <w:t xml:space="preserve"> [7]</w:t>
      </w:r>
    </w:p>
    <w:p w14:paraId="6C090B48" w14:textId="77777777" w:rsidR="00B31DAF" w:rsidRPr="00B31DAF" w:rsidRDefault="00B31DAF" w:rsidP="00B31DAF">
      <w:pPr>
        <w:pStyle w:val="a3"/>
        <w:widowControl/>
        <w:numPr>
          <w:ilvl w:val="1"/>
          <w:numId w:val="3"/>
        </w:numPr>
        <w:ind w:firstLineChars="0"/>
        <w:jc w:val="left"/>
        <w:rPr>
          <w:rFonts w:ascii="Calibri" w:eastAsia="宋体" w:hAnsi="Calibri" w:cs="Calibri"/>
          <w:kern w:val="0"/>
          <w:sz w:val="22"/>
          <w:szCs w:val="22"/>
        </w:rPr>
      </w:pPr>
      <w:r w:rsidRPr="00B31DAF">
        <w:rPr>
          <w:rFonts w:ascii="Calibri" w:eastAsia="宋体" w:hAnsi="Calibri" w:cs="Calibri" w:hint="eastAsia"/>
          <w:kern w:val="0"/>
          <w:sz w:val="22"/>
          <w:szCs w:val="22"/>
        </w:rPr>
        <w:t>M</w:t>
      </w:r>
      <w:r w:rsidRPr="00B31DAF">
        <w:rPr>
          <w:rFonts w:ascii="Calibri" w:eastAsia="宋体" w:hAnsi="Calibri" w:cs="Calibri"/>
          <w:kern w:val="0"/>
          <w:sz w:val="22"/>
          <w:szCs w:val="22"/>
        </w:rPr>
        <w:t xml:space="preserve">ore importantly, </w:t>
      </w:r>
      <w:r w:rsidRPr="00B31DAF">
        <w:rPr>
          <w:rFonts w:ascii="Arial" w:eastAsia="宋体" w:hAnsi="Arial" w:cs="Arial"/>
          <w:color w:val="494949"/>
          <w:kern w:val="0"/>
          <w:sz w:val="23"/>
          <w:szCs w:val="23"/>
          <w:shd w:val="clear" w:color="auto" w:fill="FFFFFF"/>
        </w:rPr>
        <w:t>Through a combination of horizontal drilling, hydraulic fracturing, and seismic imaging, US companies have unlocked oil and gas from previously inaccessible shale and other unconventional resources</w:t>
      </w:r>
      <w:r>
        <w:rPr>
          <w:rFonts w:ascii="Arial" w:eastAsia="宋体" w:hAnsi="Arial" w:cs="Arial"/>
          <w:color w:val="494949"/>
          <w:kern w:val="0"/>
          <w:sz w:val="23"/>
          <w:szCs w:val="23"/>
          <w:shd w:val="clear" w:color="auto" w:fill="FFFFFF"/>
        </w:rPr>
        <w:t xml:space="preserve"> [7]</w:t>
      </w:r>
    </w:p>
    <w:p w14:paraId="5E16D8DF" w14:textId="77777777" w:rsidR="00B31DAF" w:rsidRPr="00B31DAF" w:rsidRDefault="00B31DAF" w:rsidP="00B31DAF">
      <w:pPr>
        <w:pStyle w:val="a3"/>
        <w:widowControl/>
        <w:numPr>
          <w:ilvl w:val="1"/>
          <w:numId w:val="3"/>
        </w:numPr>
        <w:ind w:firstLineChars="0"/>
        <w:jc w:val="left"/>
        <w:rPr>
          <w:rFonts w:ascii="Calibri" w:eastAsia="宋体" w:hAnsi="Calibri" w:cs="Calibri"/>
          <w:kern w:val="0"/>
          <w:sz w:val="22"/>
          <w:szCs w:val="22"/>
        </w:rPr>
      </w:pPr>
      <w:r w:rsidRPr="00B31DAF">
        <w:rPr>
          <w:rFonts w:ascii="Arial" w:eastAsia="宋体" w:hAnsi="Arial" w:cs="Arial"/>
          <w:color w:val="494949"/>
          <w:kern w:val="0"/>
          <w:sz w:val="23"/>
          <w:szCs w:val="23"/>
          <w:shd w:val="clear" w:color="auto" w:fill="FFFFFF"/>
        </w:rPr>
        <w:t>In 2008, the average US power plant paid $10 per thousand cubic feet (</w:t>
      </w:r>
      <w:proofErr w:type="spellStart"/>
      <w:r w:rsidRPr="00B31DAF">
        <w:rPr>
          <w:rFonts w:ascii="Arial" w:eastAsia="宋体" w:hAnsi="Arial" w:cs="Arial"/>
          <w:color w:val="494949"/>
          <w:kern w:val="0"/>
          <w:sz w:val="23"/>
          <w:szCs w:val="23"/>
          <w:shd w:val="clear" w:color="auto" w:fill="FFFFFF"/>
        </w:rPr>
        <w:t>tcf</w:t>
      </w:r>
      <w:proofErr w:type="spellEnd"/>
      <w:r w:rsidRPr="00B31DAF">
        <w:rPr>
          <w:rFonts w:ascii="Arial" w:eastAsia="宋体" w:hAnsi="Arial" w:cs="Arial"/>
          <w:color w:val="494949"/>
          <w:kern w:val="0"/>
          <w:sz w:val="23"/>
          <w:szCs w:val="23"/>
          <w:shd w:val="clear" w:color="auto" w:fill="FFFFFF"/>
        </w:rPr>
        <w:t>) for delivered natural gas (in real 2016 dollars). In 2016 they paid $3, a 71 percent decline from 2008 levels. </w:t>
      </w:r>
      <w:r>
        <w:rPr>
          <w:rFonts w:ascii="Arial" w:eastAsia="宋体" w:hAnsi="Arial" w:cs="Arial"/>
          <w:color w:val="494949"/>
          <w:kern w:val="0"/>
          <w:sz w:val="23"/>
          <w:szCs w:val="23"/>
          <w:shd w:val="clear" w:color="auto" w:fill="FFFFFF"/>
        </w:rPr>
        <w:t>[7]</w:t>
      </w:r>
    </w:p>
    <w:p w14:paraId="5ADBBCEF" w14:textId="77777777" w:rsidR="00B31DAF" w:rsidRPr="00B31DAF" w:rsidRDefault="00B31DAF" w:rsidP="00B31DAF">
      <w:pPr>
        <w:pStyle w:val="a3"/>
        <w:widowControl/>
        <w:numPr>
          <w:ilvl w:val="1"/>
          <w:numId w:val="3"/>
        </w:numPr>
        <w:ind w:firstLineChars="0"/>
        <w:jc w:val="left"/>
        <w:rPr>
          <w:rFonts w:ascii="Calibri" w:eastAsia="宋体" w:hAnsi="Calibri" w:cs="Calibri"/>
          <w:kern w:val="0"/>
          <w:sz w:val="22"/>
          <w:szCs w:val="22"/>
        </w:rPr>
      </w:pPr>
      <w:r w:rsidRPr="00B31DAF">
        <w:rPr>
          <w:rFonts w:ascii="Arial" w:eastAsia="宋体" w:hAnsi="Arial" w:cs="Arial"/>
          <w:color w:val="494949"/>
          <w:kern w:val="0"/>
          <w:sz w:val="23"/>
          <w:szCs w:val="23"/>
          <w:shd w:val="clear" w:color="auto" w:fill="FFFFFF"/>
        </w:rPr>
        <w:t>This price decline has dramatically improved the competitiveness of natural gas versus coal, particularly in the East and Midwest. During the same period of time, the average delivered cost of coal only decreased by 8 percent in real terms.</w:t>
      </w:r>
      <w:r>
        <w:rPr>
          <w:rFonts w:ascii="Arial" w:eastAsia="宋体" w:hAnsi="Arial" w:cs="Arial"/>
          <w:color w:val="494949"/>
          <w:kern w:val="0"/>
          <w:sz w:val="23"/>
          <w:szCs w:val="23"/>
          <w:shd w:val="clear" w:color="auto" w:fill="FFFFFF"/>
        </w:rPr>
        <w:t>[7]</w:t>
      </w:r>
    </w:p>
    <w:p w14:paraId="0621F4BE" w14:textId="77777777" w:rsidR="00B31DAF" w:rsidRPr="00B31DAF" w:rsidRDefault="00B31DAF" w:rsidP="00B31DAF">
      <w:pPr>
        <w:pStyle w:val="a3"/>
        <w:widowControl/>
        <w:numPr>
          <w:ilvl w:val="1"/>
          <w:numId w:val="3"/>
        </w:numPr>
        <w:ind w:firstLineChars="0"/>
        <w:jc w:val="left"/>
        <w:rPr>
          <w:rFonts w:ascii="Calibri" w:eastAsia="宋体" w:hAnsi="Calibri" w:cs="Calibri"/>
          <w:kern w:val="0"/>
          <w:sz w:val="22"/>
          <w:szCs w:val="22"/>
        </w:rPr>
      </w:pPr>
      <w:r w:rsidRPr="00B31DAF">
        <w:rPr>
          <w:rFonts w:ascii="Arial" w:eastAsia="宋体" w:hAnsi="Arial" w:cs="Arial"/>
          <w:color w:val="494949"/>
          <w:kern w:val="0"/>
          <w:sz w:val="23"/>
          <w:szCs w:val="23"/>
          <w:shd w:val="clear" w:color="auto" w:fill="FFFFFF"/>
        </w:rPr>
        <w:lastRenderedPageBreak/>
        <w:t>Doing this kind of analysis at the interconnect level, we estimate that natural gas is responsible for 48.9 percent of the decline in coal production nationwide, renewables (including hydro and biomass) are responsible for 17.8 percent, and nuclear is responsible for 7.7 percent</w:t>
      </w:r>
      <w:r>
        <w:rPr>
          <w:rFonts w:ascii="Arial" w:eastAsia="宋体" w:hAnsi="Arial" w:cs="Arial"/>
          <w:color w:val="494949"/>
          <w:kern w:val="0"/>
          <w:sz w:val="23"/>
          <w:szCs w:val="23"/>
          <w:shd w:val="clear" w:color="auto" w:fill="FFFFFF"/>
        </w:rPr>
        <w:t xml:space="preserve"> [7]</w:t>
      </w:r>
    </w:p>
    <w:p w14:paraId="57EBBDF2" w14:textId="77777777" w:rsidR="002B5F5D" w:rsidRPr="002B5F5D" w:rsidRDefault="00B31DAF" w:rsidP="002B5F5D">
      <w:pPr>
        <w:pStyle w:val="a3"/>
        <w:widowControl/>
        <w:numPr>
          <w:ilvl w:val="1"/>
          <w:numId w:val="3"/>
        </w:numPr>
        <w:ind w:firstLineChars="0"/>
        <w:jc w:val="left"/>
        <w:rPr>
          <w:rFonts w:ascii="Calibri" w:eastAsia="宋体" w:hAnsi="Calibri" w:cs="Calibri"/>
          <w:kern w:val="0"/>
          <w:sz w:val="22"/>
          <w:szCs w:val="22"/>
        </w:rPr>
      </w:pPr>
      <w:r w:rsidRPr="00B31DAF">
        <w:rPr>
          <w:rFonts w:ascii="Arial" w:eastAsia="宋体" w:hAnsi="Arial" w:cs="Arial"/>
          <w:color w:val="494949"/>
          <w:kern w:val="0"/>
          <w:sz w:val="23"/>
          <w:szCs w:val="23"/>
          <w:shd w:val="clear" w:color="auto" w:fill="FFFFFF"/>
        </w:rPr>
        <w:t>weaker electricity demand than expected in the 2006 AEO accounts for 25.6 percent of the lower-than-expected coal-fired power generation in 2016</w:t>
      </w:r>
      <w:r w:rsidRPr="00B31DAF">
        <w:rPr>
          <w:rFonts w:ascii="Arial" w:eastAsia="宋体" w:hAnsi="Arial" w:cs="Arial"/>
          <w:color w:val="494949"/>
          <w:kern w:val="0"/>
          <w:sz w:val="23"/>
          <w:szCs w:val="23"/>
          <w:shd w:val="clear" w:color="auto" w:fill="FFFFFF"/>
        </w:rPr>
        <w:t>[7]</w:t>
      </w:r>
    </w:p>
    <w:p w14:paraId="49D773EE" w14:textId="77777777" w:rsidR="002B5F5D" w:rsidRPr="002B5F5D" w:rsidRDefault="002B5F5D" w:rsidP="002B5F5D">
      <w:pPr>
        <w:pStyle w:val="a3"/>
        <w:widowControl/>
        <w:numPr>
          <w:ilvl w:val="1"/>
          <w:numId w:val="3"/>
        </w:numPr>
        <w:ind w:firstLineChars="0"/>
        <w:jc w:val="left"/>
        <w:rPr>
          <w:rFonts w:ascii="Calibri" w:eastAsia="宋体" w:hAnsi="Calibri" w:cs="Calibri"/>
          <w:kern w:val="0"/>
          <w:sz w:val="22"/>
          <w:szCs w:val="22"/>
        </w:rPr>
      </w:pPr>
      <w:r w:rsidRPr="002B5F5D">
        <w:rPr>
          <w:rFonts w:ascii="PT Serif" w:eastAsia="宋体" w:hAnsi="PT Serif" w:cs="宋体"/>
          <w:color w:val="101010"/>
          <w:kern w:val="0"/>
          <w:sz w:val="27"/>
          <w:szCs w:val="27"/>
          <w:shd w:val="clear" w:color="auto" w:fill="FAFAFA"/>
        </w:rPr>
        <w:t>New coal-fired generation capacity is much more expensive to build and more difficult to site and permit than natural gas or renewable facilities</w:t>
      </w:r>
      <w:r>
        <w:rPr>
          <w:rFonts w:ascii="PT Serif" w:eastAsia="宋体" w:hAnsi="PT Serif" w:cs="宋体"/>
          <w:color w:val="101010"/>
          <w:kern w:val="0"/>
          <w:sz w:val="27"/>
          <w:szCs w:val="27"/>
          <w:shd w:val="clear" w:color="auto" w:fill="FAFAFA"/>
        </w:rPr>
        <w:t xml:space="preserve"> [6]</w:t>
      </w:r>
    </w:p>
    <w:p w14:paraId="37C92863" w14:textId="08F3C7E3" w:rsidR="002B5F5D" w:rsidRPr="002B5F5D" w:rsidRDefault="002B5F5D" w:rsidP="002B5F5D">
      <w:pPr>
        <w:pStyle w:val="a3"/>
        <w:widowControl/>
        <w:numPr>
          <w:ilvl w:val="1"/>
          <w:numId w:val="3"/>
        </w:numPr>
        <w:ind w:firstLineChars="0"/>
        <w:jc w:val="left"/>
        <w:rPr>
          <w:rFonts w:ascii="Calibri" w:eastAsia="宋体" w:hAnsi="Calibri" w:cs="Calibri"/>
          <w:kern w:val="0"/>
          <w:sz w:val="22"/>
          <w:szCs w:val="22"/>
        </w:rPr>
      </w:pPr>
      <w:r w:rsidRPr="002B5F5D">
        <w:rPr>
          <w:rFonts w:ascii="PT Serif" w:eastAsia="宋体" w:hAnsi="PT Serif" w:cs="宋体"/>
          <w:color w:val="101010"/>
          <w:kern w:val="0"/>
          <w:sz w:val="27"/>
          <w:szCs w:val="27"/>
          <w:shd w:val="clear" w:color="auto" w:fill="FAFAFA"/>
        </w:rPr>
        <w:t>The decline of the U.S. coal industry is the result of market forces, not a policy “war on coal.” Any successful policy to revive the industry will be working against economic headwinds, and thus difficult to maintain over the long term</w:t>
      </w:r>
      <w:r>
        <w:rPr>
          <w:rFonts w:ascii="PT Serif" w:eastAsia="宋体" w:hAnsi="PT Serif" w:cs="宋体"/>
          <w:color w:val="101010"/>
          <w:kern w:val="0"/>
          <w:sz w:val="27"/>
          <w:szCs w:val="27"/>
          <w:shd w:val="clear" w:color="auto" w:fill="FAFAFA"/>
        </w:rPr>
        <w:t xml:space="preserve"> [6]</w:t>
      </w:r>
    </w:p>
    <w:p w14:paraId="6BEB123C" w14:textId="7FB561D9" w:rsidR="00C92B01" w:rsidRPr="007958D8" w:rsidRDefault="00C92B01" w:rsidP="00C92B01">
      <w:pPr>
        <w:pStyle w:val="a3"/>
        <w:widowControl/>
        <w:numPr>
          <w:ilvl w:val="1"/>
          <w:numId w:val="3"/>
        </w:numPr>
        <w:ind w:firstLineChars="0"/>
        <w:jc w:val="left"/>
        <w:rPr>
          <w:rFonts w:ascii="Calibri" w:eastAsia="宋体" w:hAnsi="Calibri" w:cs="Calibri" w:hint="eastAsia"/>
          <w:kern w:val="0"/>
          <w:sz w:val="22"/>
          <w:szCs w:val="22"/>
        </w:rPr>
      </w:pPr>
    </w:p>
    <w:p w14:paraId="3460ECA9" w14:textId="4D322952" w:rsidR="008F5E45" w:rsidRPr="00D312A8" w:rsidRDefault="008F5E45" w:rsidP="00BA1989">
      <w:pPr>
        <w:widowControl/>
        <w:jc w:val="left"/>
        <w:rPr>
          <w:rFonts w:ascii="Calibri" w:eastAsia="宋体" w:hAnsi="Calibri" w:cs="Calibri"/>
          <w:color w:val="000000" w:themeColor="text1"/>
          <w:kern w:val="0"/>
          <w:sz w:val="22"/>
          <w:szCs w:val="22"/>
          <w:shd w:val="clear" w:color="auto" w:fill="FFFFFF"/>
        </w:rPr>
      </w:pPr>
    </w:p>
    <w:p w14:paraId="60D89AEF" w14:textId="77777777" w:rsidR="008F5E45" w:rsidRPr="00D312A8" w:rsidRDefault="008F5E45" w:rsidP="00BA1989">
      <w:pPr>
        <w:widowControl/>
        <w:jc w:val="left"/>
        <w:rPr>
          <w:rFonts w:ascii="Calibri" w:eastAsia="宋体" w:hAnsi="Calibri" w:cs="Calibri"/>
          <w:color w:val="000000" w:themeColor="text1"/>
          <w:kern w:val="0"/>
          <w:sz w:val="22"/>
          <w:szCs w:val="22"/>
          <w:shd w:val="clear" w:color="auto" w:fill="FFFFFF"/>
        </w:rPr>
      </w:pPr>
    </w:p>
    <w:p w14:paraId="32EA5497" w14:textId="0563CDBE" w:rsidR="00BA1989" w:rsidRPr="00D312A8" w:rsidRDefault="00BA1989" w:rsidP="00BA1989">
      <w:pPr>
        <w:widowControl/>
        <w:jc w:val="left"/>
        <w:rPr>
          <w:rFonts w:ascii="Calibri" w:eastAsia="宋体" w:hAnsi="Calibri" w:cs="Calibri"/>
          <w:color w:val="000000" w:themeColor="text1"/>
          <w:kern w:val="0"/>
          <w:sz w:val="22"/>
          <w:szCs w:val="22"/>
          <w:shd w:val="clear" w:color="auto" w:fill="FFFFFF"/>
        </w:rPr>
      </w:pPr>
      <w:r w:rsidRPr="00D312A8">
        <w:rPr>
          <w:rFonts w:ascii="Calibri" w:eastAsia="宋体" w:hAnsi="Calibri" w:cs="Calibri"/>
          <w:color w:val="000000" w:themeColor="text1"/>
          <w:kern w:val="0"/>
          <w:sz w:val="22"/>
          <w:szCs w:val="22"/>
          <w:shd w:val="clear" w:color="auto" w:fill="FFFFFF"/>
        </w:rPr>
        <w:t xml:space="preserve">[1] </w:t>
      </w:r>
      <w:r w:rsidRPr="00D312A8">
        <w:rPr>
          <w:rFonts w:ascii="Calibri" w:eastAsia="宋体" w:hAnsi="Calibri" w:cs="Calibri"/>
          <w:color w:val="000000" w:themeColor="text1"/>
          <w:kern w:val="0"/>
          <w:sz w:val="22"/>
          <w:szCs w:val="22"/>
          <w:shd w:val="clear" w:color="auto" w:fill="FFFFFF"/>
        </w:rPr>
        <w:t>https://www.eia.gov/outlooks/steo/report/coal.php</w:t>
      </w:r>
    </w:p>
    <w:p w14:paraId="0A21F13F" w14:textId="1062A1EA" w:rsidR="00BA1989" w:rsidRPr="00D312A8" w:rsidRDefault="00BA1989" w:rsidP="00BA1989">
      <w:pPr>
        <w:widowControl/>
        <w:jc w:val="left"/>
        <w:rPr>
          <w:rFonts w:ascii="Calibri" w:eastAsia="宋体" w:hAnsi="Calibri" w:cs="Calibri"/>
          <w:color w:val="000000" w:themeColor="text1"/>
          <w:kern w:val="0"/>
          <w:sz w:val="22"/>
          <w:szCs w:val="22"/>
          <w:shd w:val="clear" w:color="auto" w:fill="FFFFFF"/>
        </w:rPr>
      </w:pPr>
      <w:r w:rsidRPr="00D312A8">
        <w:rPr>
          <w:rFonts w:ascii="Calibri" w:eastAsia="宋体" w:hAnsi="Calibri" w:cs="Calibri"/>
          <w:color w:val="000000" w:themeColor="text1"/>
          <w:kern w:val="0"/>
          <w:sz w:val="22"/>
          <w:szCs w:val="22"/>
        </w:rPr>
        <w:t xml:space="preserve">[2] </w:t>
      </w:r>
      <w:r w:rsidRPr="00D312A8">
        <w:rPr>
          <w:rFonts w:ascii="Calibri" w:hAnsi="Calibri" w:cs="Calibri"/>
          <w:color w:val="000000" w:themeColor="text1"/>
          <w:sz w:val="22"/>
          <w:szCs w:val="22"/>
        </w:rPr>
        <w:t>https://www.eia.gov/energyexplained/coal/prices-and-outlook.php#:~:text=In%202019%2C%20the%20national%20average,was%20%2438.53%20per%20short%20ton</w:t>
      </w:r>
    </w:p>
    <w:p w14:paraId="7B1646BA" w14:textId="3C2452B2" w:rsidR="00BA1989" w:rsidRPr="00D312A8" w:rsidRDefault="00B754FA" w:rsidP="00BA1989">
      <w:pPr>
        <w:widowControl/>
        <w:jc w:val="left"/>
        <w:rPr>
          <w:rFonts w:ascii="Calibri" w:eastAsia="宋体" w:hAnsi="Calibri" w:cs="Calibri"/>
          <w:color w:val="000000" w:themeColor="text1"/>
          <w:kern w:val="0"/>
          <w:sz w:val="22"/>
          <w:szCs w:val="22"/>
        </w:rPr>
      </w:pPr>
      <w:r w:rsidRPr="00D312A8">
        <w:rPr>
          <w:rFonts w:ascii="Calibri" w:eastAsia="宋体" w:hAnsi="Calibri" w:cs="Calibri"/>
          <w:color w:val="000000" w:themeColor="text1"/>
          <w:kern w:val="0"/>
          <w:sz w:val="22"/>
          <w:szCs w:val="22"/>
        </w:rPr>
        <w:t xml:space="preserve">[3] </w:t>
      </w:r>
      <w:r w:rsidRPr="00D312A8">
        <w:rPr>
          <w:rFonts w:ascii="Calibri" w:eastAsia="宋体" w:hAnsi="Calibri" w:cs="Calibri"/>
          <w:color w:val="000000" w:themeColor="text1"/>
          <w:kern w:val="0"/>
          <w:sz w:val="22"/>
          <w:szCs w:val="22"/>
        </w:rPr>
        <w:t>https://www.eia.gov/coal/data.php#coalplants</w:t>
      </w:r>
    </w:p>
    <w:p w14:paraId="58855BF7" w14:textId="08DA75BB" w:rsidR="008F5E45" w:rsidRPr="00D312A8" w:rsidRDefault="008F5E45" w:rsidP="00BA1989">
      <w:pPr>
        <w:widowControl/>
        <w:jc w:val="left"/>
        <w:rPr>
          <w:rFonts w:ascii="Calibri" w:eastAsia="宋体" w:hAnsi="Calibri" w:cs="Calibri"/>
          <w:color w:val="000000" w:themeColor="text1"/>
          <w:kern w:val="0"/>
          <w:sz w:val="22"/>
          <w:szCs w:val="22"/>
        </w:rPr>
      </w:pPr>
      <w:r w:rsidRPr="00D312A8">
        <w:rPr>
          <w:rFonts w:ascii="Calibri" w:eastAsia="宋体" w:hAnsi="Calibri" w:cs="Calibri"/>
          <w:color w:val="000000" w:themeColor="text1"/>
          <w:kern w:val="0"/>
          <w:sz w:val="22"/>
          <w:szCs w:val="22"/>
        </w:rPr>
        <w:t xml:space="preserve">[4] </w:t>
      </w:r>
      <w:r w:rsidRPr="00D312A8">
        <w:rPr>
          <w:rFonts w:ascii="Calibri" w:eastAsia="宋体" w:hAnsi="Calibri" w:cs="Calibri"/>
          <w:color w:val="000000" w:themeColor="text1"/>
          <w:kern w:val="0"/>
          <w:sz w:val="22"/>
          <w:szCs w:val="22"/>
        </w:rPr>
        <w:t>https://www.eia.gov/energyexplained/natural-gas/factors-affecting-natural-gas-prices.php</w:t>
      </w:r>
    </w:p>
    <w:p w14:paraId="1BD0516E" w14:textId="440B80F7" w:rsidR="0085700E" w:rsidRDefault="0085700E" w:rsidP="00BA1989">
      <w:pPr>
        <w:widowControl/>
        <w:jc w:val="left"/>
        <w:rPr>
          <w:rFonts w:ascii="Calibri" w:eastAsia="宋体" w:hAnsi="Calibri" w:cs="Calibri"/>
          <w:color w:val="000000" w:themeColor="text1"/>
          <w:kern w:val="0"/>
          <w:sz w:val="22"/>
          <w:szCs w:val="22"/>
        </w:rPr>
      </w:pPr>
      <w:r w:rsidRPr="00D312A8">
        <w:rPr>
          <w:rFonts w:ascii="Calibri" w:eastAsia="宋体" w:hAnsi="Calibri" w:cs="Calibri"/>
          <w:color w:val="000000" w:themeColor="text1"/>
          <w:kern w:val="0"/>
          <w:sz w:val="22"/>
          <w:szCs w:val="22"/>
        </w:rPr>
        <w:t xml:space="preserve">[5] </w:t>
      </w:r>
      <w:r w:rsidRPr="00D312A8">
        <w:rPr>
          <w:rFonts w:ascii="Calibri" w:eastAsia="宋体" w:hAnsi="Calibri" w:cs="Calibri"/>
          <w:color w:val="000000" w:themeColor="text1"/>
          <w:kern w:val="0"/>
          <w:sz w:val="22"/>
          <w:szCs w:val="22"/>
        </w:rPr>
        <w:t>https://www.eia.gov/todayinenergy/detail.php?id=13551</w:t>
      </w:r>
    </w:p>
    <w:p w14:paraId="085F5063" w14:textId="4EC54235" w:rsidR="003969B6" w:rsidRDefault="003969B6" w:rsidP="00BA1989">
      <w:pPr>
        <w:widowControl/>
        <w:jc w:val="left"/>
        <w:rPr>
          <w:rFonts w:ascii="Calibri" w:eastAsia="宋体" w:hAnsi="Calibri" w:cs="Calibri"/>
          <w:color w:val="000000" w:themeColor="text1"/>
          <w:kern w:val="0"/>
          <w:sz w:val="22"/>
          <w:szCs w:val="22"/>
        </w:rPr>
      </w:pPr>
      <w:r>
        <w:rPr>
          <w:rFonts w:ascii="Calibri" w:eastAsia="宋体" w:hAnsi="Calibri" w:cs="Calibri"/>
          <w:color w:val="000000" w:themeColor="text1"/>
          <w:kern w:val="0"/>
          <w:sz w:val="22"/>
          <w:szCs w:val="22"/>
        </w:rPr>
        <w:t xml:space="preserve">[6] </w:t>
      </w:r>
      <w:r w:rsidRPr="003969B6">
        <w:rPr>
          <w:rFonts w:ascii="Calibri" w:eastAsia="宋体" w:hAnsi="Calibri" w:cs="Calibri"/>
          <w:color w:val="000000" w:themeColor="text1"/>
          <w:kern w:val="0"/>
          <w:sz w:val="22"/>
          <w:szCs w:val="22"/>
        </w:rPr>
        <w:t>https://www.brookings.edu/blog/planetpolicy/2019/01/16/why-theres-no-bringing-coal-back/</w:t>
      </w:r>
    </w:p>
    <w:p w14:paraId="0089D31C" w14:textId="0BE6D9A4" w:rsidR="003969B6" w:rsidRDefault="003969B6" w:rsidP="00BA1989">
      <w:pPr>
        <w:widowControl/>
        <w:jc w:val="left"/>
        <w:rPr>
          <w:rFonts w:ascii="Calibri" w:eastAsia="宋体" w:hAnsi="Calibri" w:cs="Calibri"/>
          <w:color w:val="000000" w:themeColor="text1"/>
          <w:kern w:val="0"/>
          <w:sz w:val="22"/>
          <w:szCs w:val="22"/>
        </w:rPr>
      </w:pPr>
      <w:r>
        <w:rPr>
          <w:rFonts w:ascii="Calibri" w:eastAsia="宋体" w:hAnsi="Calibri" w:cs="Calibri"/>
          <w:color w:val="000000" w:themeColor="text1"/>
          <w:kern w:val="0"/>
          <w:sz w:val="22"/>
          <w:szCs w:val="22"/>
        </w:rPr>
        <w:t>[7]</w:t>
      </w:r>
      <w:r w:rsidRPr="003969B6">
        <w:t xml:space="preserve"> </w:t>
      </w:r>
      <w:r w:rsidRPr="003969B6">
        <w:rPr>
          <w:rFonts w:ascii="Calibri" w:eastAsia="宋体" w:hAnsi="Calibri" w:cs="Calibri"/>
          <w:color w:val="000000" w:themeColor="text1"/>
          <w:kern w:val="0"/>
          <w:sz w:val="22"/>
          <w:szCs w:val="22"/>
        </w:rPr>
        <w:t>https://www.energypolicy.columbia.edu/research/report/can-coal-make-comeback</w:t>
      </w:r>
    </w:p>
    <w:p w14:paraId="32381C34" w14:textId="096C9763" w:rsidR="007958D8" w:rsidRDefault="007958D8" w:rsidP="00BA1989">
      <w:pPr>
        <w:widowControl/>
        <w:jc w:val="left"/>
        <w:rPr>
          <w:rFonts w:ascii="Calibri" w:eastAsia="宋体" w:hAnsi="Calibri" w:cs="Calibri"/>
          <w:color w:val="000000" w:themeColor="text1"/>
          <w:kern w:val="0"/>
          <w:sz w:val="22"/>
          <w:szCs w:val="22"/>
        </w:rPr>
      </w:pPr>
      <w:r>
        <w:rPr>
          <w:rFonts w:ascii="Calibri" w:eastAsia="宋体" w:hAnsi="Calibri" w:cs="Calibri"/>
          <w:color w:val="000000" w:themeColor="text1"/>
          <w:kern w:val="0"/>
          <w:sz w:val="22"/>
          <w:szCs w:val="22"/>
        </w:rPr>
        <w:t xml:space="preserve">[8] </w:t>
      </w:r>
      <w:r w:rsidR="00F34DEA" w:rsidRPr="00F34DEA">
        <w:rPr>
          <w:rFonts w:ascii="Calibri" w:eastAsia="宋体" w:hAnsi="Calibri" w:cs="Calibri"/>
          <w:color w:val="000000" w:themeColor="text1"/>
          <w:kern w:val="0"/>
          <w:sz w:val="22"/>
          <w:szCs w:val="22"/>
        </w:rPr>
        <w:t>https://energy.stanford.edu/news/qa-stanford-expert-explains-why-we-continue-burning-coal-energy</w:t>
      </w:r>
    </w:p>
    <w:p w14:paraId="25F85EF9" w14:textId="32E0F8BA" w:rsidR="00F34DEA" w:rsidRDefault="00F34DEA" w:rsidP="00BA1989">
      <w:pPr>
        <w:widowControl/>
        <w:jc w:val="left"/>
        <w:rPr>
          <w:rFonts w:ascii="Calibri" w:eastAsia="宋体" w:hAnsi="Calibri" w:cs="Calibri"/>
          <w:color w:val="000000" w:themeColor="text1"/>
          <w:kern w:val="0"/>
          <w:sz w:val="22"/>
          <w:szCs w:val="22"/>
        </w:rPr>
      </w:pPr>
      <w:r>
        <w:rPr>
          <w:rFonts w:ascii="Calibri" w:eastAsia="宋体" w:hAnsi="Calibri" w:cs="Calibri"/>
          <w:color w:val="000000" w:themeColor="text1"/>
          <w:kern w:val="0"/>
          <w:sz w:val="22"/>
          <w:szCs w:val="22"/>
        </w:rPr>
        <w:t xml:space="preserve">[9] </w:t>
      </w:r>
      <w:r w:rsidRPr="00F34DEA">
        <w:rPr>
          <w:rFonts w:ascii="Calibri" w:eastAsia="宋体" w:hAnsi="Calibri" w:cs="Calibri"/>
          <w:color w:val="000000" w:themeColor="text1"/>
          <w:kern w:val="0"/>
          <w:sz w:val="22"/>
          <w:szCs w:val="22"/>
        </w:rPr>
        <w:t>AEO2020 Electricity</w:t>
      </w:r>
    </w:p>
    <w:p w14:paraId="7BB2D920" w14:textId="66CF56D6" w:rsidR="00F34DEA" w:rsidRPr="00F34DEA" w:rsidRDefault="007D4677" w:rsidP="00BA1989">
      <w:pPr>
        <w:widowControl/>
        <w:jc w:val="left"/>
        <w:rPr>
          <w:rFonts w:ascii="Calibri" w:eastAsia="宋体" w:hAnsi="Calibri" w:cs="Calibri" w:hint="eastAsia"/>
          <w:color w:val="000000" w:themeColor="text1"/>
          <w:kern w:val="0"/>
          <w:sz w:val="22"/>
          <w:szCs w:val="22"/>
        </w:rPr>
      </w:pPr>
      <w:r>
        <w:rPr>
          <w:rFonts w:ascii="Calibri" w:eastAsia="宋体" w:hAnsi="Calibri" w:cs="Calibri" w:hint="eastAsia"/>
          <w:color w:val="000000" w:themeColor="text1"/>
          <w:kern w:val="0"/>
          <w:sz w:val="22"/>
          <w:szCs w:val="22"/>
        </w:rPr>
        <w:t>[</w:t>
      </w:r>
      <w:r>
        <w:rPr>
          <w:rFonts w:ascii="Calibri" w:eastAsia="宋体" w:hAnsi="Calibri" w:cs="Calibri"/>
          <w:color w:val="000000" w:themeColor="text1"/>
          <w:kern w:val="0"/>
          <w:sz w:val="22"/>
          <w:szCs w:val="22"/>
        </w:rPr>
        <w:t xml:space="preserve">10] </w:t>
      </w:r>
      <w:r w:rsidRPr="007D4677">
        <w:rPr>
          <w:rFonts w:ascii="Calibri" w:eastAsia="宋体" w:hAnsi="Calibri" w:cs="Calibri"/>
          <w:color w:val="000000" w:themeColor="text1"/>
          <w:kern w:val="0"/>
          <w:sz w:val="22"/>
          <w:szCs w:val="22"/>
        </w:rPr>
        <w:t>AEO2020 Natural Gas</w:t>
      </w:r>
    </w:p>
    <w:sectPr w:rsidR="00F34DEA" w:rsidRPr="00F34D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T Serif">
    <w:altName w:val="PT Serif"/>
    <w:panose1 w:val="020A0603040505020204"/>
    <w:charset w:val="00"/>
    <w:family w:val="roman"/>
    <w:pitch w:val="variable"/>
    <w:sig w:usb0="A00002EF" w:usb1="5000204B" w:usb2="00000000" w:usb3="00000000" w:csb0="00000097"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60C3D"/>
    <w:multiLevelType w:val="hybridMultilevel"/>
    <w:tmpl w:val="6D2E107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8F76263"/>
    <w:multiLevelType w:val="hybridMultilevel"/>
    <w:tmpl w:val="830264F2"/>
    <w:lvl w:ilvl="0" w:tplc="389AB6C4">
      <w:start w:val="1"/>
      <w:numFmt w:val="bullet"/>
      <w:lvlText w:val="•"/>
      <w:lvlJc w:val="left"/>
      <w:pPr>
        <w:tabs>
          <w:tab w:val="num" w:pos="720"/>
        </w:tabs>
        <w:ind w:left="720" w:hanging="360"/>
      </w:pPr>
      <w:rPr>
        <w:rFonts w:ascii="Arial" w:hAnsi="Arial" w:hint="default"/>
      </w:rPr>
    </w:lvl>
    <w:lvl w:ilvl="1" w:tplc="27BA860A" w:tentative="1">
      <w:start w:val="1"/>
      <w:numFmt w:val="bullet"/>
      <w:lvlText w:val="•"/>
      <w:lvlJc w:val="left"/>
      <w:pPr>
        <w:tabs>
          <w:tab w:val="num" w:pos="1440"/>
        </w:tabs>
        <w:ind w:left="1440" w:hanging="360"/>
      </w:pPr>
      <w:rPr>
        <w:rFonts w:ascii="Arial" w:hAnsi="Arial" w:hint="default"/>
      </w:rPr>
    </w:lvl>
    <w:lvl w:ilvl="2" w:tplc="BB94C7CC" w:tentative="1">
      <w:start w:val="1"/>
      <w:numFmt w:val="bullet"/>
      <w:lvlText w:val="•"/>
      <w:lvlJc w:val="left"/>
      <w:pPr>
        <w:tabs>
          <w:tab w:val="num" w:pos="2160"/>
        </w:tabs>
        <w:ind w:left="2160" w:hanging="360"/>
      </w:pPr>
      <w:rPr>
        <w:rFonts w:ascii="Arial" w:hAnsi="Arial" w:hint="default"/>
      </w:rPr>
    </w:lvl>
    <w:lvl w:ilvl="3" w:tplc="8784447A" w:tentative="1">
      <w:start w:val="1"/>
      <w:numFmt w:val="bullet"/>
      <w:lvlText w:val="•"/>
      <w:lvlJc w:val="left"/>
      <w:pPr>
        <w:tabs>
          <w:tab w:val="num" w:pos="2880"/>
        </w:tabs>
        <w:ind w:left="2880" w:hanging="360"/>
      </w:pPr>
      <w:rPr>
        <w:rFonts w:ascii="Arial" w:hAnsi="Arial" w:hint="default"/>
      </w:rPr>
    </w:lvl>
    <w:lvl w:ilvl="4" w:tplc="6CA2FCAE" w:tentative="1">
      <w:start w:val="1"/>
      <w:numFmt w:val="bullet"/>
      <w:lvlText w:val="•"/>
      <w:lvlJc w:val="left"/>
      <w:pPr>
        <w:tabs>
          <w:tab w:val="num" w:pos="3600"/>
        </w:tabs>
        <w:ind w:left="3600" w:hanging="360"/>
      </w:pPr>
      <w:rPr>
        <w:rFonts w:ascii="Arial" w:hAnsi="Arial" w:hint="default"/>
      </w:rPr>
    </w:lvl>
    <w:lvl w:ilvl="5" w:tplc="612C5CA6" w:tentative="1">
      <w:start w:val="1"/>
      <w:numFmt w:val="bullet"/>
      <w:lvlText w:val="•"/>
      <w:lvlJc w:val="left"/>
      <w:pPr>
        <w:tabs>
          <w:tab w:val="num" w:pos="4320"/>
        </w:tabs>
        <w:ind w:left="4320" w:hanging="360"/>
      </w:pPr>
      <w:rPr>
        <w:rFonts w:ascii="Arial" w:hAnsi="Arial" w:hint="default"/>
      </w:rPr>
    </w:lvl>
    <w:lvl w:ilvl="6" w:tplc="C6487046" w:tentative="1">
      <w:start w:val="1"/>
      <w:numFmt w:val="bullet"/>
      <w:lvlText w:val="•"/>
      <w:lvlJc w:val="left"/>
      <w:pPr>
        <w:tabs>
          <w:tab w:val="num" w:pos="5040"/>
        </w:tabs>
        <w:ind w:left="5040" w:hanging="360"/>
      </w:pPr>
      <w:rPr>
        <w:rFonts w:ascii="Arial" w:hAnsi="Arial" w:hint="default"/>
      </w:rPr>
    </w:lvl>
    <w:lvl w:ilvl="7" w:tplc="A5F2AC96" w:tentative="1">
      <w:start w:val="1"/>
      <w:numFmt w:val="bullet"/>
      <w:lvlText w:val="•"/>
      <w:lvlJc w:val="left"/>
      <w:pPr>
        <w:tabs>
          <w:tab w:val="num" w:pos="5760"/>
        </w:tabs>
        <w:ind w:left="5760" w:hanging="360"/>
      </w:pPr>
      <w:rPr>
        <w:rFonts w:ascii="Arial" w:hAnsi="Arial" w:hint="default"/>
      </w:rPr>
    </w:lvl>
    <w:lvl w:ilvl="8" w:tplc="6C00DE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FFA46AF"/>
    <w:multiLevelType w:val="hybridMultilevel"/>
    <w:tmpl w:val="CF2670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EF0684"/>
    <w:multiLevelType w:val="hybridMultilevel"/>
    <w:tmpl w:val="39F27A88"/>
    <w:lvl w:ilvl="0" w:tplc="59D848B2">
      <w:start w:val="1"/>
      <w:numFmt w:val="bullet"/>
      <w:lvlText w:val="•"/>
      <w:lvlJc w:val="left"/>
      <w:pPr>
        <w:tabs>
          <w:tab w:val="num" w:pos="720"/>
        </w:tabs>
        <w:ind w:left="720" w:hanging="360"/>
      </w:pPr>
      <w:rPr>
        <w:rFonts w:ascii="Arial" w:hAnsi="Arial" w:hint="default"/>
      </w:rPr>
    </w:lvl>
    <w:lvl w:ilvl="1" w:tplc="61EE81E8" w:tentative="1">
      <w:start w:val="1"/>
      <w:numFmt w:val="bullet"/>
      <w:lvlText w:val="•"/>
      <w:lvlJc w:val="left"/>
      <w:pPr>
        <w:tabs>
          <w:tab w:val="num" w:pos="1440"/>
        </w:tabs>
        <w:ind w:left="1440" w:hanging="360"/>
      </w:pPr>
      <w:rPr>
        <w:rFonts w:ascii="Arial" w:hAnsi="Arial" w:hint="default"/>
      </w:rPr>
    </w:lvl>
    <w:lvl w:ilvl="2" w:tplc="1E68D4E2" w:tentative="1">
      <w:start w:val="1"/>
      <w:numFmt w:val="bullet"/>
      <w:lvlText w:val="•"/>
      <w:lvlJc w:val="left"/>
      <w:pPr>
        <w:tabs>
          <w:tab w:val="num" w:pos="2160"/>
        </w:tabs>
        <w:ind w:left="2160" w:hanging="360"/>
      </w:pPr>
      <w:rPr>
        <w:rFonts w:ascii="Arial" w:hAnsi="Arial" w:hint="default"/>
      </w:rPr>
    </w:lvl>
    <w:lvl w:ilvl="3" w:tplc="68E81F76" w:tentative="1">
      <w:start w:val="1"/>
      <w:numFmt w:val="bullet"/>
      <w:lvlText w:val="•"/>
      <w:lvlJc w:val="left"/>
      <w:pPr>
        <w:tabs>
          <w:tab w:val="num" w:pos="2880"/>
        </w:tabs>
        <w:ind w:left="2880" w:hanging="360"/>
      </w:pPr>
      <w:rPr>
        <w:rFonts w:ascii="Arial" w:hAnsi="Arial" w:hint="default"/>
      </w:rPr>
    </w:lvl>
    <w:lvl w:ilvl="4" w:tplc="73B691E8" w:tentative="1">
      <w:start w:val="1"/>
      <w:numFmt w:val="bullet"/>
      <w:lvlText w:val="•"/>
      <w:lvlJc w:val="left"/>
      <w:pPr>
        <w:tabs>
          <w:tab w:val="num" w:pos="3600"/>
        </w:tabs>
        <w:ind w:left="3600" w:hanging="360"/>
      </w:pPr>
      <w:rPr>
        <w:rFonts w:ascii="Arial" w:hAnsi="Arial" w:hint="default"/>
      </w:rPr>
    </w:lvl>
    <w:lvl w:ilvl="5" w:tplc="F9503B74" w:tentative="1">
      <w:start w:val="1"/>
      <w:numFmt w:val="bullet"/>
      <w:lvlText w:val="•"/>
      <w:lvlJc w:val="left"/>
      <w:pPr>
        <w:tabs>
          <w:tab w:val="num" w:pos="4320"/>
        </w:tabs>
        <w:ind w:left="4320" w:hanging="360"/>
      </w:pPr>
      <w:rPr>
        <w:rFonts w:ascii="Arial" w:hAnsi="Arial" w:hint="default"/>
      </w:rPr>
    </w:lvl>
    <w:lvl w:ilvl="6" w:tplc="1D3AC10A" w:tentative="1">
      <w:start w:val="1"/>
      <w:numFmt w:val="bullet"/>
      <w:lvlText w:val="•"/>
      <w:lvlJc w:val="left"/>
      <w:pPr>
        <w:tabs>
          <w:tab w:val="num" w:pos="5040"/>
        </w:tabs>
        <w:ind w:left="5040" w:hanging="360"/>
      </w:pPr>
      <w:rPr>
        <w:rFonts w:ascii="Arial" w:hAnsi="Arial" w:hint="default"/>
      </w:rPr>
    </w:lvl>
    <w:lvl w:ilvl="7" w:tplc="13646696" w:tentative="1">
      <w:start w:val="1"/>
      <w:numFmt w:val="bullet"/>
      <w:lvlText w:val="•"/>
      <w:lvlJc w:val="left"/>
      <w:pPr>
        <w:tabs>
          <w:tab w:val="num" w:pos="5760"/>
        </w:tabs>
        <w:ind w:left="5760" w:hanging="360"/>
      </w:pPr>
      <w:rPr>
        <w:rFonts w:ascii="Arial" w:hAnsi="Arial" w:hint="default"/>
      </w:rPr>
    </w:lvl>
    <w:lvl w:ilvl="8" w:tplc="218C6DC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FD349BF"/>
    <w:multiLevelType w:val="hybridMultilevel"/>
    <w:tmpl w:val="C04E14D4"/>
    <w:lvl w:ilvl="0" w:tplc="55A65A88">
      <w:start w:val="1"/>
      <w:numFmt w:val="bullet"/>
      <w:lvlText w:val="•"/>
      <w:lvlJc w:val="left"/>
      <w:pPr>
        <w:tabs>
          <w:tab w:val="num" w:pos="720"/>
        </w:tabs>
        <w:ind w:left="720" w:hanging="360"/>
      </w:pPr>
      <w:rPr>
        <w:rFonts w:ascii="Arial" w:hAnsi="Arial" w:hint="default"/>
      </w:rPr>
    </w:lvl>
    <w:lvl w:ilvl="1" w:tplc="8214C87A" w:tentative="1">
      <w:start w:val="1"/>
      <w:numFmt w:val="bullet"/>
      <w:lvlText w:val="•"/>
      <w:lvlJc w:val="left"/>
      <w:pPr>
        <w:tabs>
          <w:tab w:val="num" w:pos="1440"/>
        </w:tabs>
        <w:ind w:left="1440" w:hanging="360"/>
      </w:pPr>
      <w:rPr>
        <w:rFonts w:ascii="Arial" w:hAnsi="Arial" w:hint="default"/>
      </w:rPr>
    </w:lvl>
    <w:lvl w:ilvl="2" w:tplc="9D6A803A" w:tentative="1">
      <w:start w:val="1"/>
      <w:numFmt w:val="bullet"/>
      <w:lvlText w:val="•"/>
      <w:lvlJc w:val="left"/>
      <w:pPr>
        <w:tabs>
          <w:tab w:val="num" w:pos="2160"/>
        </w:tabs>
        <w:ind w:left="2160" w:hanging="360"/>
      </w:pPr>
      <w:rPr>
        <w:rFonts w:ascii="Arial" w:hAnsi="Arial" w:hint="default"/>
      </w:rPr>
    </w:lvl>
    <w:lvl w:ilvl="3" w:tplc="D84C7492" w:tentative="1">
      <w:start w:val="1"/>
      <w:numFmt w:val="bullet"/>
      <w:lvlText w:val="•"/>
      <w:lvlJc w:val="left"/>
      <w:pPr>
        <w:tabs>
          <w:tab w:val="num" w:pos="2880"/>
        </w:tabs>
        <w:ind w:left="2880" w:hanging="360"/>
      </w:pPr>
      <w:rPr>
        <w:rFonts w:ascii="Arial" w:hAnsi="Arial" w:hint="default"/>
      </w:rPr>
    </w:lvl>
    <w:lvl w:ilvl="4" w:tplc="A2D6714C" w:tentative="1">
      <w:start w:val="1"/>
      <w:numFmt w:val="bullet"/>
      <w:lvlText w:val="•"/>
      <w:lvlJc w:val="left"/>
      <w:pPr>
        <w:tabs>
          <w:tab w:val="num" w:pos="3600"/>
        </w:tabs>
        <w:ind w:left="3600" w:hanging="360"/>
      </w:pPr>
      <w:rPr>
        <w:rFonts w:ascii="Arial" w:hAnsi="Arial" w:hint="default"/>
      </w:rPr>
    </w:lvl>
    <w:lvl w:ilvl="5" w:tplc="DB9CA64E" w:tentative="1">
      <w:start w:val="1"/>
      <w:numFmt w:val="bullet"/>
      <w:lvlText w:val="•"/>
      <w:lvlJc w:val="left"/>
      <w:pPr>
        <w:tabs>
          <w:tab w:val="num" w:pos="4320"/>
        </w:tabs>
        <w:ind w:left="4320" w:hanging="360"/>
      </w:pPr>
      <w:rPr>
        <w:rFonts w:ascii="Arial" w:hAnsi="Arial" w:hint="default"/>
      </w:rPr>
    </w:lvl>
    <w:lvl w:ilvl="6" w:tplc="6E866F48" w:tentative="1">
      <w:start w:val="1"/>
      <w:numFmt w:val="bullet"/>
      <w:lvlText w:val="•"/>
      <w:lvlJc w:val="left"/>
      <w:pPr>
        <w:tabs>
          <w:tab w:val="num" w:pos="5040"/>
        </w:tabs>
        <w:ind w:left="5040" w:hanging="360"/>
      </w:pPr>
      <w:rPr>
        <w:rFonts w:ascii="Arial" w:hAnsi="Arial" w:hint="default"/>
      </w:rPr>
    </w:lvl>
    <w:lvl w:ilvl="7" w:tplc="B656A194" w:tentative="1">
      <w:start w:val="1"/>
      <w:numFmt w:val="bullet"/>
      <w:lvlText w:val="•"/>
      <w:lvlJc w:val="left"/>
      <w:pPr>
        <w:tabs>
          <w:tab w:val="num" w:pos="5760"/>
        </w:tabs>
        <w:ind w:left="5760" w:hanging="360"/>
      </w:pPr>
      <w:rPr>
        <w:rFonts w:ascii="Arial" w:hAnsi="Arial" w:hint="default"/>
      </w:rPr>
    </w:lvl>
    <w:lvl w:ilvl="8" w:tplc="4C4C816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5731AF1"/>
    <w:multiLevelType w:val="hybridMultilevel"/>
    <w:tmpl w:val="5A060EF8"/>
    <w:lvl w:ilvl="0" w:tplc="9D1A6764">
      <w:start w:val="1"/>
      <w:numFmt w:val="decimal"/>
      <w:lvlText w:val="%1."/>
      <w:lvlJc w:val="left"/>
      <w:pPr>
        <w:ind w:left="420" w:hanging="420"/>
      </w:pPr>
      <w:rPr>
        <w:rFonts w:ascii="Calibri" w:hAnsi="Calibri" w:cs="Calibri" w:hint="default"/>
        <w:sz w:val="22"/>
        <w:szCs w:val="22"/>
      </w:rPr>
    </w:lvl>
    <w:lvl w:ilvl="1" w:tplc="D7768B32">
      <w:start w:val="1"/>
      <w:numFmt w:val="bullet"/>
      <w:lvlText w:val="•"/>
      <w:lvlJc w:val="left"/>
      <w:pPr>
        <w:ind w:left="840" w:hanging="420"/>
      </w:pPr>
      <w:rPr>
        <w:rFonts w:ascii="@宋体" w:eastAsia="@宋体" w:hAnsi="@宋体"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D8435D"/>
    <w:multiLevelType w:val="hybridMultilevel"/>
    <w:tmpl w:val="31A8759C"/>
    <w:lvl w:ilvl="0" w:tplc="46CA120E">
      <w:start w:val="1"/>
      <w:numFmt w:val="bullet"/>
      <w:lvlText w:val="•"/>
      <w:lvlJc w:val="left"/>
      <w:pPr>
        <w:tabs>
          <w:tab w:val="num" w:pos="720"/>
        </w:tabs>
        <w:ind w:left="720" w:hanging="360"/>
      </w:pPr>
      <w:rPr>
        <w:rFonts w:ascii="Arial" w:hAnsi="Arial" w:hint="default"/>
      </w:rPr>
    </w:lvl>
    <w:lvl w:ilvl="1" w:tplc="024201BE" w:tentative="1">
      <w:start w:val="1"/>
      <w:numFmt w:val="bullet"/>
      <w:lvlText w:val="•"/>
      <w:lvlJc w:val="left"/>
      <w:pPr>
        <w:tabs>
          <w:tab w:val="num" w:pos="1440"/>
        </w:tabs>
        <w:ind w:left="1440" w:hanging="360"/>
      </w:pPr>
      <w:rPr>
        <w:rFonts w:ascii="Arial" w:hAnsi="Arial" w:hint="default"/>
      </w:rPr>
    </w:lvl>
    <w:lvl w:ilvl="2" w:tplc="3E3CF6BA" w:tentative="1">
      <w:start w:val="1"/>
      <w:numFmt w:val="bullet"/>
      <w:lvlText w:val="•"/>
      <w:lvlJc w:val="left"/>
      <w:pPr>
        <w:tabs>
          <w:tab w:val="num" w:pos="2160"/>
        </w:tabs>
        <w:ind w:left="2160" w:hanging="360"/>
      </w:pPr>
      <w:rPr>
        <w:rFonts w:ascii="Arial" w:hAnsi="Arial" w:hint="default"/>
      </w:rPr>
    </w:lvl>
    <w:lvl w:ilvl="3" w:tplc="CA62D0A8" w:tentative="1">
      <w:start w:val="1"/>
      <w:numFmt w:val="bullet"/>
      <w:lvlText w:val="•"/>
      <w:lvlJc w:val="left"/>
      <w:pPr>
        <w:tabs>
          <w:tab w:val="num" w:pos="2880"/>
        </w:tabs>
        <w:ind w:left="2880" w:hanging="360"/>
      </w:pPr>
      <w:rPr>
        <w:rFonts w:ascii="Arial" w:hAnsi="Arial" w:hint="default"/>
      </w:rPr>
    </w:lvl>
    <w:lvl w:ilvl="4" w:tplc="54C8FD08" w:tentative="1">
      <w:start w:val="1"/>
      <w:numFmt w:val="bullet"/>
      <w:lvlText w:val="•"/>
      <w:lvlJc w:val="left"/>
      <w:pPr>
        <w:tabs>
          <w:tab w:val="num" w:pos="3600"/>
        </w:tabs>
        <w:ind w:left="3600" w:hanging="360"/>
      </w:pPr>
      <w:rPr>
        <w:rFonts w:ascii="Arial" w:hAnsi="Arial" w:hint="default"/>
      </w:rPr>
    </w:lvl>
    <w:lvl w:ilvl="5" w:tplc="CCDED502" w:tentative="1">
      <w:start w:val="1"/>
      <w:numFmt w:val="bullet"/>
      <w:lvlText w:val="•"/>
      <w:lvlJc w:val="left"/>
      <w:pPr>
        <w:tabs>
          <w:tab w:val="num" w:pos="4320"/>
        </w:tabs>
        <w:ind w:left="4320" w:hanging="360"/>
      </w:pPr>
      <w:rPr>
        <w:rFonts w:ascii="Arial" w:hAnsi="Arial" w:hint="default"/>
      </w:rPr>
    </w:lvl>
    <w:lvl w:ilvl="6" w:tplc="23EEA7FC" w:tentative="1">
      <w:start w:val="1"/>
      <w:numFmt w:val="bullet"/>
      <w:lvlText w:val="•"/>
      <w:lvlJc w:val="left"/>
      <w:pPr>
        <w:tabs>
          <w:tab w:val="num" w:pos="5040"/>
        </w:tabs>
        <w:ind w:left="5040" w:hanging="360"/>
      </w:pPr>
      <w:rPr>
        <w:rFonts w:ascii="Arial" w:hAnsi="Arial" w:hint="default"/>
      </w:rPr>
    </w:lvl>
    <w:lvl w:ilvl="7" w:tplc="1D9C7420" w:tentative="1">
      <w:start w:val="1"/>
      <w:numFmt w:val="bullet"/>
      <w:lvlText w:val="•"/>
      <w:lvlJc w:val="left"/>
      <w:pPr>
        <w:tabs>
          <w:tab w:val="num" w:pos="5760"/>
        </w:tabs>
        <w:ind w:left="5760" w:hanging="360"/>
      </w:pPr>
      <w:rPr>
        <w:rFonts w:ascii="Arial" w:hAnsi="Arial" w:hint="default"/>
      </w:rPr>
    </w:lvl>
    <w:lvl w:ilvl="8" w:tplc="72CEE33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A823B0A"/>
    <w:multiLevelType w:val="hybridMultilevel"/>
    <w:tmpl w:val="9EF0C6B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755CBC"/>
    <w:multiLevelType w:val="hybridMultilevel"/>
    <w:tmpl w:val="BB202DD2"/>
    <w:lvl w:ilvl="0" w:tplc="39CCCF54">
      <w:start w:val="1"/>
      <w:numFmt w:val="bullet"/>
      <w:lvlText w:val="•"/>
      <w:lvlJc w:val="left"/>
      <w:pPr>
        <w:tabs>
          <w:tab w:val="num" w:pos="720"/>
        </w:tabs>
        <w:ind w:left="720" w:hanging="360"/>
      </w:pPr>
      <w:rPr>
        <w:rFonts w:ascii="Arial" w:hAnsi="Arial" w:hint="default"/>
      </w:rPr>
    </w:lvl>
    <w:lvl w:ilvl="1" w:tplc="7DB65590" w:tentative="1">
      <w:start w:val="1"/>
      <w:numFmt w:val="bullet"/>
      <w:lvlText w:val="•"/>
      <w:lvlJc w:val="left"/>
      <w:pPr>
        <w:tabs>
          <w:tab w:val="num" w:pos="1440"/>
        </w:tabs>
        <w:ind w:left="1440" w:hanging="360"/>
      </w:pPr>
      <w:rPr>
        <w:rFonts w:ascii="Arial" w:hAnsi="Arial" w:hint="default"/>
      </w:rPr>
    </w:lvl>
    <w:lvl w:ilvl="2" w:tplc="0CEE87DC" w:tentative="1">
      <w:start w:val="1"/>
      <w:numFmt w:val="bullet"/>
      <w:lvlText w:val="•"/>
      <w:lvlJc w:val="left"/>
      <w:pPr>
        <w:tabs>
          <w:tab w:val="num" w:pos="2160"/>
        </w:tabs>
        <w:ind w:left="2160" w:hanging="360"/>
      </w:pPr>
      <w:rPr>
        <w:rFonts w:ascii="Arial" w:hAnsi="Arial" w:hint="default"/>
      </w:rPr>
    </w:lvl>
    <w:lvl w:ilvl="3" w:tplc="62DE46E6" w:tentative="1">
      <w:start w:val="1"/>
      <w:numFmt w:val="bullet"/>
      <w:lvlText w:val="•"/>
      <w:lvlJc w:val="left"/>
      <w:pPr>
        <w:tabs>
          <w:tab w:val="num" w:pos="2880"/>
        </w:tabs>
        <w:ind w:left="2880" w:hanging="360"/>
      </w:pPr>
      <w:rPr>
        <w:rFonts w:ascii="Arial" w:hAnsi="Arial" w:hint="default"/>
      </w:rPr>
    </w:lvl>
    <w:lvl w:ilvl="4" w:tplc="32F67AD0" w:tentative="1">
      <w:start w:val="1"/>
      <w:numFmt w:val="bullet"/>
      <w:lvlText w:val="•"/>
      <w:lvlJc w:val="left"/>
      <w:pPr>
        <w:tabs>
          <w:tab w:val="num" w:pos="3600"/>
        </w:tabs>
        <w:ind w:left="3600" w:hanging="360"/>
      </w:pPr>
      <w:rPr>
        <w:rFonts w:ascii="Arial" w:hAnsi="Arial" w:hint="default"/>
      </w:rPr>
    </w:lvl>
    <w:lvl w:ilvl="5" w:tplc="E0D4DE08" w:tentative="1">
      <w:start w:val="1"/>
      <w:numFmt w:val="bullet"/>
      <w:lvlText w:val="•"/>
      <w:lvlJc w:val="left"/>
      <w:pPr>
        <w:tabs>
          <w:tab w:val="num" w:pos="4320"/>
        </w:tabs>
        <w:ind w:left="4320" w:hanging="360"/>
      </w:pPr>
      <w:rPr>
        <w:rFonts w:ascii="Arial" w:hAnsi="Arial" w:hint="default"/>
      </w:rPr>
    </w:lvl>
    <w:lvl w:ilvl="6" w:tplc="7D64E83A" w:tentative="1">
      <w:start w:val="1"/>
      <w:numFmt w:val="bullet"/>
      <w:lvlText w:val="•"/>
      <w:lvlJc w:val="left"/>
      <w:pPr>
        <w:tabs>
          <w:tab w:val="num" w:pos="5040"/>
        </w:tabs>
        <w:ind w:left="5040" w:hanging="360"/>
      </w:pPr>
      <w:rPr>
        <w:rFonts w:ascii="Arial" w:hAnsi="Arial" w:hint="default"/>
      </w:rPr>
    </w:lvl>
    <w:lvl w:ilvl="7" w:tplc="B914B548" w:tentative="1">
      <w:start w:val="1"/>
      <w:numFmt w:val="bullet"/>
      <w:lvlText w:val="•"/>
      <w:lvlJc w:val="left"/>
      <w:pPr>
        <w:tabs>
          <w:tab w:val="num" w:pos="5760"/>
        </w:tabs>
        <w:ind w:left="5760" w:hanging="360"/>
      </w:pPr>
      <w:rPr>
        <w:rFonts w:ascii="Arial" w:hAnsi="Arial" w:hint="default"/>
      </w:rPr>
    </w:lvl>
    <w:lvl w:ilvl="8" w:tplc="23C0CC0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F427E0D"/>
    <w:multiLevelType w:val="hybridMultilevel"/>
    <w:tmpl w:val="126E7E8E"/>
    <w:lvl w:ilvl="0" w:tplc="A586AC3A">
      <w:start w:val="1"/>
      <w:numFmt w:val="bullet"/>
      <w:lvlText w:val="•"/>
      <w:lvlJc w:val="left"/>
      <w:pPr>
        <w:tabs>
          <w:tab w:val="num" w:pos="720"/>
        </w:tabs>
        <w:ind w:left="720" w:hanging="360"/>
      </w:pPr>
      <w:rPr>
        <w:rFonts w:ascii="Arial" w:hAnsi="Arial" w:hint="default"/>
      </w:rPr>
    </w:lvl>
    <w:lvl w:ilvl="1" w:tplc="B52CF052" w:tentative="1">
      <w:start w:val="1"/>
      <w:numFmt w:val="bullet"/>
      <w:lvlText w:val="•"/>
      <w:lvlJc w:val="left"/>
      <w:pPr>
        <w:tabs>
          <w:tab w:val="num" w:pos="1440"/>
        </w:tabs>
        <w:ind w:left="1440" w:hanging="360"/>
      </w:pPr>
      <w:rPr>
        <w:rFonts w:ascii="Arial" w:hAnsi="Arial" w:hint="default"/>
      </w:rPr>
    </w:lvl>
    <w:lvl w:ilvl="2" w:tplc="366C1E18" w:tentative="1">
      <w:start w:val="1"/>
      <w:numFmt w:val="bullet"/>
      <w:lvlText w:val="•"/>
      <w:lvlJc w:val="left"/>
      <w:pPr>
        <w:tabs>
          <w:tab w:val="num" w:pos="2160"/>
        </w:tabs>
        <w:ind w:left="2160" w:hanging="360"/>
      </w:pPr>
      <w:rPr>
        <w:rFonts w:ascii="Arial" w:hAnsi="Arial" w:hint="default"/>
      </w:rPr>
    </w:lvl>
    <w:lvl w:ilvl="3" w:tplc="DAF4566A" w:tentative="1">
      <w:start w:val="1"/>
      <w:numFmt w:val="bullet"/>
      <w:lvlText w:val="•"/>
      <w:lvlJc w:val="left"/>
      <w:pPr>
        <w:tabs>
          <w:tab w:val="num" w:pos="2880"/>
        </w:tabs>
        <w:ind w:left="2880" w:hanging="360"/>
      </w:pPr>
      <w:rPr>
        <w:rFonts w:ascii="Arial" w:hAnsi="Arial" w:hint="default"/>
      </w:rPr>
    </w:lvl>
    <w:lvl w:ilvl="4" w:tplc="809C4F1E" w:tentative="1">
      <w:start w:val="1"/>
      <w:numFmt w:val="bullet"/>
      <w:lvlText w:val="•"/>
      <w:lvlJc w:val="left"/>
      <w:pPr>
        <w:tabs>
          <w:tab w:val="num" w:pos="3600"/>
        </w:tabs>
        <w:ind w:left="3600" w:hanging="360"/>
      </w:pPr>
      <w:rPr>
        <w:rFonts w:ascii="Arial" w:hAnsi="Arial" w:hint="default"/>
      </w:rPr>
    </w:lvl>
    <w:lvl w:ilvl="5" w:tplc="997006AA" w:tentative="1">
      <w:start w:val="1"/>
      <w:numFmt w:val="bullet"/>
      <w:lvlText w:val="•"/>
      <w:lvlJc w:val="left"/>
      <w:pPr>
        <w:tabs>
          <w:tab w:val="num" w:pos="4320"/>
        </w:tabs>
        <w:ind w:left="4320" w:hanging="360"/>
      </w:pPr>
      <w:rPr>
        <w:rFonts w:ascii="Arial" w:hAnsi="Arial" w:hint="default"/>
      </w:rPr>
    </w:lvl>
    <w:lvl w:ilvl="6" w:tplc="253A85FC" w:tentative="1">
      <w:start w:val="1"/>
      <w:numFmt w:val="bullet"/>
      <w:lvlText w:val="•"/>
      <w:lvlJc w:val="left"/>
      <w:pPr>
        <w:tabs>
          <w:tab w:val="num" w:pos="5040"/>
        </w:tabs>
        <w:ind w:left="5040" w:hanging="360"/>
      </w:pPr>
      <w:rPr>
        <w:rFonts w:ascii="Arial" w:hAnsi="Arial" w:hint="default"/>
      </w:rPr>
    </w:lvl>
    <w:lvl w:ilvl="7" w:tplc="B35C7198" w:tentative="1">
      <w:start w:val="1"/>
      <w:numFmt w:val="bullet"/>
      <w:lvlText w:val="•"/>
      <w:lvlJc w:val="left"/>
      <w:pPr>
        <w:tabs>
          <w:tab w:val="num" w:pos="5760"/>
        </w:tabs>
        <w:ind w:left="5760" w:hanging="360"/>
      </w:pPr>
      <w:rPr>
        <w:rFonts w:ascii="Arial" w:hAnsi="Arial" w:hint="default"/>
      </w:rPr>
    </w:lvl>
    <w:lvl w:ilvl="8" w:tplc="65888F1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ABC54E6"/>
    <w:multiLevelType w:val="hybridMultilevel"/>
    <w:tmpl w:val="ABF6692E"/>
    <w:lvl w:ilvl="0" w:tplc="92F8DB1C">
      <w:start w:val="1"/>
      <w:numFmt w:val="bullet"/>
      <w:lvlText w:val="•"/>
      <w:lvlJc w:val="left"/>
      <w:pPr>
        <w:tabs>
          <w:tab w:val="num" w:pos="720"/>
        </w:tabs>
        <w:ind w:left="720" w:hanging="360"/>
      </w:pPr>
      <w:rPr>
        <w:rFonts w:ascii="Arial" w:hAnsi="Arial" w:hint="default"/>
      </w:rPr>
    </w:lvl>
    <w:lvl w:ilvl="1" w:tplc="70607EEE" w:tentative="1">
      <w:start w:val="1"/>
      <w:numFmt w:val="bullet"/>
      <w:lvlText w:val="•"/>
      <w:lvlJc w:val="left"/>
      <w:pPr>
        <w:tabs>
          <w:tab w:val="num" w:pos="1440"/>
        </w:tabs>
        <w:ind w:left="1440" w:hanging="360"/>
      </w:pPr>
      <w:rPr>
        <w:rFonts w:ascii="Arial" w:hAnsi="Arial" w:hint="default"/>
      </w:rPr>
    </w:lvl>
    <w:lvl w:ilvl="2" w:tplc="CC9C1538" w:tentative="1">
      <w:start w:val="1"/>
      <w:numFmt w:val="bullet"/>
      <w:lvlText w:val="•"/>
      <w:lvlJc w:val="left"/>
      <w:pPr>
        <w:tabs>
          <w:tab w:val="num" w:pos="2160"/>
        </w:tabs>
        <w:ind w:left="2160" w:hanging="360"/>
      </w:pPr>
      <w:rPr>
        <w:rFonts w:ascii="Arial" w:hAnsi="Arial" w:hint="default"/>
      </w:rPr>
    </w:lvl>
    <w:lvl w:ilvl="3" w:tplc="6F4E93E6" w:tentative="1">
      <w:start w:val="1"/>
      <w:numFmt w:val="bullet"/>
      <w:lvlText w:val="•"/>
      <w:lvlJc w:val="left"/>
      <w:pPr>
        <w:tabs>
          <w:tab w:val="num" w:pos="2880"/>
        </w:tabs>
        <w:ind w:left="2880" w:hanging="360"/>
      </w:pPr>
      <w:rPr>
        <w:rFonts w:ascii="Arial" w:hAnsi="Arial" w:hint="default"/>
      </w:rPr>
    </w:lvl>
    <w:lvl w:ilvl="4" w:tplc="64E41572" w:tentative="1">
      <w:start w:val="1"/>
      <w:numFmt w:val="bullet"/>
      <w:lvlText w:val="•"/>
      <w:lvlJc w:val="left"/>
      <w:pPr>
        <w:tabs>
          <w:tab w:val="num" w:pos="3600"/>
        </w:tabs>
        <w:ind w:left="3600" w:hanging="360"/>
      </w:pPr>
      <w:rPr>
        <w:rFonts w:ascii="Arial" w:hAnsi="Arial" w:hint="default"/>
      </w:rPr>
    </w:lvl>
    <w:lvl w:ilvl="5" w:tplc="2D520F46" w:tentative="1">
      <w:start w:val="1"/>
      <w:numFmt w:val="bullet"/>
      <w:lvlText w:val="•"/>
      <w:lvlJc w:val="left"/>
      <w:pPr>
        <w:tabs>
          <w:tab w:val="num" w:pos="4320"/>
        </w:tabs>
        <w:ind w:left="4320" w:hanging="360"/>
      </w:pPr>
      <w:rPr>
        <w:rFonts w:ascii="Arial" w:hAnsi="Arial" w:hint="default"/>
      </w:rPr>
    </w:lvl>
    <w:lvl w:ilvl="6" w:tplc="43F0AE52" w:tentative="1">
      <w:start w:val="1"/>
      <w:numFmt w:val="bullet"/>
      <w:lvlText w:val="•"/>
      <w:lvlJc w:val="left"/>
      <w:pPr>
        <w:tabs>
          <w:tab w:val="num" w:pos="5040"/>
        </w:tabs>
        <w:ind w:left="5040" w:hanging="360"/>
      </w:pPr>
      <w:rPr>
        <w:rFonts w:ascii="Arial" w:hAnsi="Arial" w:hint="default"/>
      </w:rPr>
    </w:lvl>
    <w:lvl w:ilvl="7" w:tplc="FA9E127A" w:tentative="1">
      <w:start w:val="1"/>
      <w:numFmt w:val="bullet"/>
      <w:lvlText w:val="•"/>
      <w:lvlJc w:val="left"/>
      <w:pPr>
        <w:tabs>
          <w:tab w:val="num" w:pos="5760"/>
        </w:tabs>
        <w:ind w:left="5760" w:hanging="360"/>
      </w:pPr>
      <w:rPr>
        <w:rFonts w:ascii="Arial" w:hAnsi="Arial" w:hint="default"/>
      </w:rPr>
    </w:lvl>
    <w:lvl w:ilvl="8" w:tplc="33CEB44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BD97D81"/>
    <w:multiLevelType w:val="hybridMultilevel"/>
    <w:tmpl w:val="27042864"/>
    <w:lvl w:ilvl="0" w:tplc="12D49534">
      <w:start w:val="1"/>
      <w:numFmt w:val="bullet"/>
      <w:lvlText w:val="•"/>
      <w:lvlJc w:val="left"/>
      <w:pPr>
        <w:tabs>
          <w:tab w:val="num" w:pos="720"/>
        </w:tabs>
        <w:ind w:left="720" w:hanging="360"/>
      </w:pPr>
      <w:rPr>
        <w:rFonts w:ascii="Arial" w:hAnsi="Arial" w:hint="default"/>
      </w:rPr>
    </w:lvl>
    <w:lvl w:ilvl="1" w:tplc="8108B172" w:tentative="1">
      <w:start w:val="1"/>
      <w:numFmt w:val="bullet"/>
      <w:lvlText w:val="•"/>
      <w:lvlJc w:val="left"/>
      <w:pPr>
        <w:tabs>
          <w:tab w:val="num" w:pos="1440"/>
        </w:tabs>
        <w:ind w:left="1440" w:hanging="360"/>
      </w:pPr>
      <w:rPr>
        <w:rFonts w:ascii="Arial" w:hAnsi="Arial" w:hint="default"/>
      </w:rPr>
    </w:lvl>
    <w:lvl w:ilvl="2" w:tplc="D8CA7BFC" w:tentative="1">
      <w:start w:val="1"/>
      <w:numFmt w:val="bullet"/>
      <w:lvlText w:val="•"/>
      <w:lvlJc w:val="left"/>
      <w:pPr>
        <w:tabs>
          <w:tab w:val="num" w:pos="2160"/>
        </w:tabs>
        <w:ind w:left="2160" w:hanging="360"/>
      </w:pPr>
      <w:rPr>
        <w:rFonts w:ascii="Arial" w:hAnsi="Arial" w:hint="default"/>
      </w:rPr>
    </w:lvl>
    <w:lvl w:ilvl="3" w:tplc="EDF8FCA4" w:tentative="1">
      <w:start w:val="1"/>
      <w:numFmt w:val="bullet"/>
      <w:lvlText w:val="•"/>
      <w:lvlJc w:val="left"/>
      <w:pPr>
        <w:tabs>
          <w:tab w:val="num" w:pos="2880"/>
        </w:tabs>
        <w:ind w:left="2880" w:hanging="360"/>
      </w:pPr>
      <w:rPr>
        <w:rFonts w:ascii="Arial" w:hAnsi="Arial" w:hint="default"/>
      </w:rPr>
    </w:lvl>
    <w:lvl w:ilvl="4" w:tplc="D436B32A" w:tentative="1">
      <w:start w:val="1"/>
      <w:numFmt w:val="bullet"/>
      <w:lvlText w:val="•"/>
      <w:lvlJc w:val="left"/>
      <w:pPr>
        <w:tabs>
          <w:tab w:val="num" w:pos="3600"/>
        </w:tabs>
        <w:ind w:left="3600" w:hanging="360"/>
      </w:pPr>
      <w:rPr>
        <w:rFonts w:ascii="Arial" w:hAnsi="Arial" w:hint="default"/>
      </w:rPr>
    </w:lvl>
    <w:lvl w:ilvl="5" w:tplc="BE205954" w:tentative="1">
      <w:start w:val="1"/>
      <w:numFmt w:val="bullet"/>
      <w:lvlText w:val="•"/>
      <w:lvlJc w:val="left"/>
      <w:pPr>
        <w:tabs>
          <w:tab w:val="num" w:pos="4320"/>
        </w:tabs>
        <w:ind w:left="4320" w:hanging="360"/>
      </w:pPr>
      <w:rPr>
        <w:rFonts w:ascii="Arial" w:hAnsi="Arial" w:hint="default"/>
      </w:rPr>
    </w:lvl>
    <w:lvl w:ilvl="6" w:tplc="762E673C" w:tentative="1">
      <w:start w:val="1"/>
      <w:numFmt w:val="bullet"/>
      <w:lvlText w:val="•"/>
      <w:lvlJc w:val="left"/>
      <w:pPr>
        <w:tabs>
          <w:tab w:val="num" w:pos="5040"/>
        </w:tabs>
        <w:ind w:left="5040" w:hanging="360"/>
      </w:pPr>
      <w:rPr>
        <w:rFonts w:ascii="Arial" w:hAnsi="Arial" w:hint="default"/>
      </w:rPr>
    </w:lvl>
    <w:lvl w:ilvl="7" w:tplc="04F80224" w:tentative="1">
      <w:start w:val="1"/>
      <w:numFmt w:val="bullet"/>
      <w:lvlText w:val="•"/>
      <w:lvlJc w:val="left"/>
      <w:pPr>
        <w:tabs>
          <w:tab w:val="num" w:pos="5760"/>
        </w:tabs>
        <w:ind w:left="5760" w:hanging="360"/>
      </w:pPr>
      <w:rPr>
        <w:rFonts w:ascii="Arial" w:hAnsi="Arial" w:hint="default"/>
      </w:rPr>
    </w:lvl>
    <w:lvl w:ilvl="8" w:tplc="8152BFF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5"/>
  </w:num>
  <w:num w:numId="3">
    <w:abstractNumId w:val="7"/>
  </w:num>
  <w:num w:numId="4">
    <w:abstractNumId w:val="0"/>
  </w:num>
  <w:num w:numId="5">
    <w:abstractNumId w:val="6"/>
  </w:num>
  <w:num w:numId="6">
    <w:abstractNumId w:val="9"/>
  </w:num>
  <w:num w:numId="7">
    <w:abstractNumId w:val="4"/>
  </w:num>
  <w:num w:numId="8">
    <w:abstractNumId w:val="8"/>
  </w:num>
  <w:num w:numId="9">
    <w:abstractNumId w:val="3"/>
  </w:num>
  <w:num w:numId="10">
    <w:abstractNumId w:val="11"/>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D20"/>
    <w:rsid w:val="00011499"/>
    <w:rsid w:val="00032C60"/>
    <w:rsid w:val="002B5F5D"/>
    <w:rsid w:val="00343D6C"/>
    <w:rsid w:val="00367E1C"/>
    <w:rsid w:val="003969B6"/>
    <w:rsid w:val="003A2D20"/>
    <w:rsid w:val="003F685A"/>
    <w:rsid w:val="006B7F19"/>
    <w:rsid w:val="007958D8"/>
    <w:rsid w:val="007A0802"/>
    <w:rsid w:val="007D4677"/>
    <w:rsid w:val="008113B5"/>
    <w:rsid w:val="0085700E"/>
    <w:rsid w:val="008F5E45"/>
    <w:rsid w:val="00B31DAF"/>
    <w:rsid w:val="00B403D6"/>
    <w:rsid w:val="00B754FA"/>
    <w:rsid w:val="00BA1989"/>
    <w:rsid w:val="00C92B01"/>
    <w:rsid w:val="00D312A8"/>
    <w:rsid w:val="00E96334"/>
    <w:rsid w:val="00F24D05"/>
    <w:rsid w:val="00F34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97C60FB"/>
  <w15:chartTrackingRefBased/>
  <w15:docId w15:val="{CEC2A88F-CD9A-154C-9260-9CD9D80AC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13B5"/>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685A"/>
    <w:pPr>
      <w:ind w:firstLineChars="200" w:firstLine="420"/>
    </w:pPr>
  </w:style>
  <w:style w:type="character" w:styleId="a4">
    <w:name w:val="Hyperlink"/>
    <w:basedOn w:val="a0"/>
    <w:uiPriority w:val="99"/>
    <w:unhideWhenUsed/>
    <w:rsid w:val="00BA1989"/>
    <w:rPr>
      <w:color w:val="0563C1" w:themeColor="hyperlink"/>
      <w:u w:val="single"/>
    </w:rPr>
  </w:style>
  <w:style w:type="character" w:styleId="a5">
    <w:name w:val="Unresolved Mention"/>
    <w:basedOn w:val="a0"/>
    <w:uiPriority w:val="99"/>
    <w:semiHidden/>
    <w:unhideWhenUsed/>
    <w:rsid w:val="00BA1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13761">
      <w:bodyDiv w:val="1"/>
      <w:marLeft w:val="0"/>
      <w:marRight w:val="0"/>
      <w:marTop w:val="0"/>
      <w:marBottom w:val="0"/>
      <w:divBdr>
        <w:top w:val="none" w:sz="0" w:space="0" w:color="auto"/>
        <w:left w:val="none" w:sz="0" w:space="0" w:color="auto"/>
        <w:bottom w:val="none" w:sz="0" w:space="0" w:color="auto"/>
        <w:right w:val="none" w:sz="0" w:space="0" w:color="auto"/>
      </w:divBdr>
    </w:div>
    <w:div w:id="539586819">
      <w:bodyDiv w:val="1"/>
      <w:marLeft w:val="0"/>
      <w:marRight w:val="0"/>
      <w:marTop w:val="0"/>
      <w:marBottom w:val="0"/>
      <w:divBdr>
        <w:top w:val="none" w:sz="0" w:space="0" w:color="auto"/>
        <w:left w:val="none" w:sz="0" w:space="0" w:color="auto"/>
        <w:bottom w:val="none" w:sz="0" w:space="0" w:color="auto"/>
        <w:right w:val="none" w:sz="0" w:space="0" w:color="auto"/>
      </w:divBdr>
      <w:divsChild>
        <w:div w:id="664404906">
          <w:marLeft w:val="374"/>
          <w:marRight w:val="0"/>
          <w:marTop w:val="320"/>
          <w:marBottom w:val="120"/>
          <w:divBdr>
            <w:top w:val="none" w:sz="0" w:space="0" w:color="auto"/>
            <w:left w:val="none" w:sz="0" w:space="0" w:color="auto"/>
            <w:bottom w:val="none" w:sz="0" w:space="0" w:color="auto"/>
            <w:right w:val="none" w:sz="0" w:space="0" w:color="auto"/>
          </w:divBdr>
        </w:div>
      </w:divsChild>
    </w:div>
    <w:div w:id="918488145">
      <w:bodyDiv w:val="1"/>
      <w:marLeft w:val="0"/>
      <w:marRight w:val="0"/>
      <w:marTop w:val="0"/>
      <w:marBottom w:val="0"/>
      <w:divBdr>
        <w:top w:val="none" w:sz="0" w:space="0" w:color="auto"/>
        <w:left w:val="none" w:sz="0" w:space="0" w:color="auto"/>
        <w:bottom w:val="none" w:sz="0" w:space="0" w:color="auto"/>
        <w:right w:val="none" w:sz="0" w:space="0" w:color="auto"/>
      </w:divBdr>
    </w:div>
    <w:div w:id="962688198">
      <w:bodyDiv w:val="1"/>
      <w:marLeft w:val="0"/>
      <w:marRight w:val="0"/>
      <w:marTop w:val="0"/>
      <w:marBottom w:val="0"/>
      <w:divBdr>
        <w:top w:val="none" w:sz="0" w:space="0" w:color="auto"/>
        <w:left w:val="none" w:sz="0" w:space="0" w:color="auto"/>
        <w:bottom w:val="none" w:sz="0" w:space="0" w:color="auto"/>
        <w:right w:val="none" w:sz="0" w:space="0" w:color="auto"/>
      </w:divBdr>
      <w:divsChild>
        <w:div w:id="1321620884">
          <w:marLeft w:val="374"/>
          <w:marRight w:val="0"/>
          <w:marTop w:val="320"/>
          <w:marBottom w:val="120"/>
          <w:divBdr>
            <w:top w:val="none" w:sz="0" w:space="0" w:color="auto"/>
            <w:left w:val="none" w:sz="0" w:space="0" w:color="auto"/>
            <w:bottom w:val="none" w:sz="0" w:space="0" w:color="auto"/>
            <w:right w:val="none" w:sz="0" w:space="0" w:color="auto"/>
          </w:divBdr>
        </w:div>
      </w:divsChild>
    </w:div>
    <w:div w:id="1167676415">
      <w:bodyDiv w:val="1"/>
      <w:marLeft w:val="0"/>
      <w:marRight w:val="0"/>
      <w:marTop w:val="0"/>
      <w:marBottom w:val="0"/>
      <w:divBdr>
        <w:top w:val="none" w:sz="0" w:space="0" w:color="auto"/>
        <w:left w:val="none" w:sz="0" w:space="0" w:color="auto"/>
        <w:bottom w:val="none" w:sz="0" w:space="0" w:color="auto"/>
        <w:right w:val="none" w:sz="0" w:space="0" w:color="auto"/>
      </w:divBdr>
      <w:divsChild>
        <w:div w:id="1992824932">
          <w:marLeft w:val="374"/>
          <w:marRight w:val="0"/>
          <w:marTop w:val="320"/>
          <w:marBottom w:val="120"/>
          <w:divBdr>
            <w:top w:val="none" w:sz="0" w:space="0" w:color="auto"/>
            <w:left w:val="none" w:sz="0" w:space="0" w:color="auto"/>
            <w:bottom w:val="none" w:sz="0" w:space="0" w:color="auto"/>
            <w:right w:val="none" w:sz="0" w:space="0" w:color="auto"/>
          </w:divBdr>
        </w:div>
      </w:divsChild>
    </w:div>
    <w:div w:id="1224220488">
      <w:bodyDiv w:val="1"/>
      <w:marLeft w:val="0"/>
      <w:marRight w:val="0"/>
      <w:marTop w:val="0"/>
      <w:marBottom w:val="0"/>
      <w:divBdr>
        <w:top w:val="none" w:sz="0" w:space="0" w:color="auto"/>
        <w:left w:val="none" w:sz="0" w:space="0" w:color="auto"/>
        <w:bottom w:val="none" w:sz="0" w:space="0" w:color="auto"/>
        <w:right w:val="none" w:sz="0" w:space="0" w:color="auto"/>
      </w:divBdr>
    </w:div>
    <w:div w:id="1282299812">
      <w:bodyDiv w:val="1"/>
      <w:marLeft w:val="0"/>
      <w:marRight w:val="0"/>
      <w:marTop w:val="0"/>
      <w:marBottom w:val="0"/>
      <w:divBdr>
        <w:top w:val="none" w:sz="0" w:space="0" w:color="auto"/>
        <w:left w:val="none" w:sz="0" w:space="0" w:color="auto"/>
        <w:bottom w:val="none" w:sz="0" w:space="0" w:color="auto"/>
        <w:right w:val="none" w:sz="0" w:space="0" w:color="auto"/>
      </w:divBdr>
    </w:div>
    <w:div w:id="1318611988">
      <w:bodyDiv w:val="1"/>
      <w:marLeft w:val="0"/>
      <w:marRight w:val="0"/>
      <w:marTop w:val="0"/>
      <w:marBottom w:val="0"/>
      <w:divBdr>
        <w:top w:val="none" w:sz="0" w:space="0" w:color="auto"/>
        <w:left w:val="none" w:sz="0" w:space="0" w:color="auto"/>
        <w:bottom w:val="none" w:sz="0" w:space="0" w:color="auto"/>
        <w:right w:val="none" w:sz="0" w:space="0" w:color="auto"/>
      </w:divBdr>
    </w:div>
    <w:div w:id="1348868966">
      <w:bodyDiv w:val="1"/>
      <w:marLeft w:val="0"/>
      <w:marRight w:val="0"/>
      <w:marTop w:val="0"/>
      <w:marBottom w:val="0"/>
      <w:divBdr>
        <w:top w:val="none" w:sz="0" w:space="0" w:color="auto"/>
        <w:left w:val="none" w:sz="0" w:space="0" w:color="auto"/>
        <w:bottom w:val="none" w:sz="0" w:space="0" w:color="auto"/>
        <w:right w:val="none" w:sz="0" w:space="0" w:color="auto"/>
      </w:divBdr>
    </w:div>
    <w:div w:id="1393189736">
      <w:bodyDiv w:val="1"/>
      <w:marLeft w:val="0"/>
      <w:marRight w:val="0"/>
      <w:marTop w:val="0"/>
      <w:marBottom w:val="0"/>
      <w:divBdr>
        <w:top w:val="none" w:sz="0" w:space="0" w:color="auto"/>
        <w:left w:val="none" w:sz="0" w:space="0" w:color="auto"/>
        <w:bottom w:val="none" w:sz="0" w:space="0" w:color="auto"/>
        <w:right w:val="none" w:sz="0" w:space="0" w:color="auto"/>
      </w:divBdr>
    </w:div>
    <w:div w:id="1425879241">
      <w:bodyDiv w:val="1"/>
      <w:marLeft w:val="0"/>
      <w:marRight w:val="0"/>
      <w:marTop w:val="0"/>
      <w:marBottom w:val="0"/>
      <w:divBdr>
        <w:top w:val="none" w:sz="0" w:space="0" w:color="auto"/>
        <w:left w:val="none" w:sz="0" w:space="0" w:color="auto"/>
        <w:bottom w:val="none" w:sz="0" w:space="0" w:color="auto"/>
        <w:right w:val="none" w:sz="0" w:space="0" w:color="auto"/>
      </w:divBdr>
    </w:div>
    <w:div w:id="1488664820">
      <w:bodyDiv w:val="1"/>
      <w:marLeft w:val="0"/>
      <w:marRight w:val="0"/>
      <w:marTop w:val="0"/>
      <w:marBottom w:val="0"/>
      <w:divBdr>
        <w:top w:val="none" w:sz="0" w:space="0" w:color="auto"/>
        <w:left w:val="none" w:sz="0" w:space="0" w:color="auto"/>
        <w:bottom w:val="none" w:sz="0" w:space="0" w:color="auto"/>
        <w:right w:val="none" w:sz="0" w:space="0" w:color="auto"/>
      </w:divBdr>
    </w:div>
    <w:div w:id="1616449946">
      <w:bodyDiv w:val="1"/>
      <w:marLeft w:val="0"/>
      <w:marRight w:val="0"/>
      <w:marTop w:val="0"/>
      <w:marBottom w:val="0"/>
      <w:divBdr>
        <w:top w:val="none" w:sz="0" w:space="0" w:color="auto"/>
        <w:left w:val="none" w:sz="0" w:space="0" w:color="auto"/>
        <w:bottom w:val="none" w:sz="0" w:space="0" w:color="auto"/>
        <w:right w:val="none" w:sz="0" w:space="0" w:color="auto"/>
      </w:divBdr>
      <w:divsChild>
        <w:div w:id="1462649650">
          <w:marLeft w:val="374"/>
          <w:marRight w:val="0"/>
          <w:marTop w:val="320"/>
          <w:marBottom w:val="120"/>
          <w:divBdr>
            <w:top w:val="none" w:sz="0" w:space="0" w:color="auto"/>
            <w:left w:val="none" w:sz="0" w:space="0" w:color="auto"/>
            <w:bottom w:val="none" w:sz="0" w:space="0" w:color="auto"/>
            <w:right w:val="none" w:sz="0" w:space="0" w:color="auto"/>
          </w:divBdr>
        </w:div>
      </w:divsChild>
    </w:div>
    <w:div w:id="1681855696">
      <w:bodyDiv w:val="1"/>
      <w:marLeft w:val="0"/>
      <w:marRight w:val="0"/>
      <w:marTop w:val="0"/>
      <w:marBottom w:val="0"/>
      <w:divBdr>
        <w:top w:val="none" w:sz="0" w:space="0" w:color="auto"/>
        <w:left w:val="none" w:sz="0" w:space="0" w:color="auto"/>
        <w:bottom w:val="none" w:sz="0" w:space="0" w:color="auto"/>
        <w:right w:val="none" w:sz="0" w:space="0" w:color="auto"/>
      </w:divBdr>
    </w:div>
    <w:div w:id="1822964790">
      <w:bodyDiv w:val="1"/>
      <w:marLeft w:val="0"/>
      <w:marRight w:val="0"/>
      <w:marTop w:val="0"/>
      <w:marBottom w:val="0"/>
      <w:divBdr>
        <w:top w:val="none" w:sz="0" w:space="0" w:color="auto"/>
        <w:left w:val="none" w:sz="0" w:space="0" w:color="auto"/>
        <w:bottom w:val="none" w:sz="0" w:space="0" w:color="auto"/>
        <w:right w:val="none" w:sz="0" w:space="0" w:color="auto"/>
      </w:divBdr>
      <w:divsChild>
        <w:div w:id="151725652">
          <w:marLeft w:val="374"/>
          <w:marRight w:val="0"/>
          <w:marTop w:val="320"/>
          <w:marBottom w:val="120"/>
          <w:divBdr>
            <w:top w:val="none" w:sz="0" w:space="0" w:color="auto"/>
            <w:left w:val="none" w:sz="0" w:space="0" w:color="auto"/>
            <w:bottom w:val="none" w:sz="0" w:space="0" w:color="auto"/>
            <w:right w:val="none" w:sz="0" w:space="0" w:color="auto"/>
          </w:divBdr>
        </w:div>
      </w:divsChild>
    </w:div>
    <w:div w:id="2047414119">
      <w:bodyDiv w:val="1"/>
      <w:marLeft w:val="0"/>
      <w:marRight w:val="0"/>
      <w:marTop w:val="0"/>
      <w:marBottom w:val="0"/>
      <w:divBdr>
        <w:top w:val="none" w:sz="0" w:space="0" w:color="auto"/>
        <w:left w:val="none" w:sz="0" w:space="0" w:color="auto"/>
        <w:bottom w:val="none" w:sz="0" w:space="0" w:color="auto"/>
        <w:right w:val="none" w:sz="0" w:space="0" w:color="auto"/>
      </w:divBdr>
      <w:divsChild>
        <w:div w:id="1473519368">
          <w:marLeft w:val="374"/>
          <w:marRight w:val="0"/>
          <w:marTop w:val="320"/>
          <w:marBottom w:val="120"/>
          <w:divBdr>
            <w:top w:val="none" w:sz="0" w:space="0" w:color="auto"/>
            <w:left w:val="none" w:sz="0" w:space="0" w:color="auto"/>
            <w:bottom w:val="none" w:sz="0" w:space="0" w:color="auto"/>
            <w:right w:val="none" w:sz="0" w:space="0" w:color="auto"/>
          </w:divBdr>
        </w:div>
      </w:divsChild>
    </w:div>
    <w:div w:id="2066373699">
      <w:bodyDiv w:val="1"/>
      <w:marLeft w:val="0"/>
      <w:marRight w:val="0"/>
      <w:marTop w:val="0"/>
      <w:marBottom w:val="0"/>
      <w:divBdr>
        <w:top w:val="none" w:sz="0" w:space="0" w:color="auto"/>
        <w:left w:val="none" w:sz="0" w:space="0" w:color="auto"/>
        <w:bottom w:val="none" w:sz="0" w:space="0" w:color="auto"/>
        <w:right w:val="none" w:sz="0" w:space="0" w:color="auto"/>
      </w:divBdr>
      <w:divsChild>
        <w:div w:id="2060589114">
          <w:marLeft w:val="374"/>
          <w:marRight w:val="0"/>
          <w:marTop w:val="320"/>
          <w:marBottom w:val="120"/>
          <w:divBdr>
            <w:top w:val="none" w:sz="0" w:space="0" w:color="auto"/>
            <w:left w:val="none" w:sz="0" w:space="0" w:color="auto"/>
            <w:bottom w:val="none" w:sz="0" w:space="0" w:color="auto"/>
            <w:right w:val="none" w:sz="0" w:space="0" w:color="auto"/>
          </w:divBdr>
        </w:div>
      </w:divsChild>
    </w:div>
    <w:div w:id="2139258050">
      <w:bodyDiv w:val="1"/>
      <w:marLeft w:val="0"/>
      <w:marRight w:val="0"/>
      <w:marTop w:val="0"/>
      <w:marBottom w:val="0"/>
      <w:divBdr>
        <w:top w:val="none" w:sz="0" w:space="0" w:color="auto"/>
        <w:left w:val="none" w:sz="0" w:space="0" w:color="auto"/>
        <w:bottom w:val="none" w:sz="0" w:space="0" w:color="auto"/>
        <w:right w:val="none" w:sz="0" w:space="0" w:color="auto"/>
      </w:divBdr>
      <w:divsChild>
        <w:div w:id="754978557">
          <w:marLeft w:val="374"/>
          <w:marRight w:val="0"/>
          <w:marTop w:val="3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4</Pages>
  <Words>1234</Words>
  <Characters>7035</Characters>
  <Application>Microsoft Office Word</Application>
  <DocSecurity>0</DocSecurity>
  <Lines>58</Lines>
  <Paragraphs>16</Paragraphs>
  <ScaleCrop>false</ScaleCrop>
  <Company/>
  <LinksUpToDate>false</LinksUpToDate>
  <CharactersWithSpaces>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Oliver | Outform</dc:creator>
  <cp:keywords/>
  <dc:description/>
  <cp:lastModifiedBy>Nathan Oliver | Outform</cp:lastModifiedBy>
  <cp:revision>9</cp:revision>
  <dcterms:created xsi:type="dcterms:W3CDTF">2021-01-31T13:50:00Z</dcterms:created>
  <dcterms:modified xsi:type="dcterms:W3CDTF">2021-02-02T02:10:00Z</dcterms:modified>
</cp:coreProperties>
</file>