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8F78D" w14:textId="77777777" w:rsidR="005A0A53" w:rsidRDefault="005A0A53" w:rsidP="009C525E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A0A53" w14:paraId="45616D74" w14:textId="77777777" w:rsidTr="00F32088">
        <w:tc>
          <w:tcPr>
            <w:tcW w:w="10456" w:type="dxa"/>
          </w:tcPr>
          <w:p w14:paraId="5E3F81BF" w14:textId="153E5161" w:rsidR="005A0A53" w:rsidRPr="005A0A53" w:rsidRDefault="005A0A53" w:rsidP="00F32088">
            <w:pPr>
              <w:widowControl/>
              <w:jc w:val="center"/>
              <w:rPr>
                <w:rFonts w:ascii="Calibri" w:eastAsia="宋体" w:hAnsi="Calibri" w:cs="宋体" w:hint="eastAsia"/>
                <w:color w:val="000000" w:themeColor="text1"/>
                <w:kern w:val="0"/>
                <w:sz w:val="32"/>
                <w:szCs w:val="32"/>
                <w:shd w:val="clear" w:color="auto" w:fill="FFFFFF"/>
              </w:rPr>
            </w:pPr>
            <w:r w:rsidRPr="005A0A53">
              <w:rPr>
                <w:rFonts w:ascii="Calibri" w:eastAsia="宋体" w:hAnsi="Calibri" w:cs="宋体"/>
                <w:color w:val="000000" w:themeColor="text1"/>
                <w:kern w:val="0"/>
                <w:sz w:val="32"/>
                <w:szCs w:val="32"/>
                <w:shd w:val="clear" w:color="auto" w:fill="FFFFFF"/>
              </w:rPr>
              <w:t>Rhodium Group Research Analyst - US Energy - Technical Screen Assignment</w:t>
            </w:r>
          </w:p>
        </w:tc>
      </w:tr>
    </w:tbl>
    <w:p w14:paraId="29940F14" w14:textId="0FAD63C2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tbl>
      <w:tblPr>
        <w:tblStyle w:val="aa"/>
        <w:tblW w:w="0" w:type="auto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"/>
        <w:gridCol w:w="5228"/>
      </w:tblGrid>
      <w:tr w:rsidR="005A0A53" w14:paraId="0D465ED1" w14:textId="77777777" w:rsidTr="00F32088">
        <w:tc>
          <w:tcPr>
            <w:tcW w:w="980" w:type="dxa"/>
          </w:tcPr>
          <w:p w14:paraId="2A8A56E0" w14:textId="55622F65" w:rsidR="005A0A53" w:rsidRPr="005A0A53" w:rsidRDefault="005A0A53" w:rsidP="009C525E">
            <w:pPr>
              <w:widowControl/>
              <w:jc w:val="left"/>
              <w:rPr>
                <w:rFonts w:ascii="Calibri" w:eastAsia="宋体" w:hAnsi="Calibri" w:cs="Calibri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</w:pPr>
            <w:r w:rsidRPr="005A0A53">
              <w:rPr>
                <w:rFonts w:ascii="Calibri" w:eastAsia="宋体" w:hAnsi="Calibri" w:cs="Calibri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N</w:t>
            </w:r>
            <w:r w:rsidRPr="005A0A53">
              <w:rPr>
                <w:rFonts w:ascii="Calibri" w:eastAsia="宋体" w:hAnsi="Calibri" w:cs="Calibri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ame</w:t>
            </w:r>
            <w:r>
              <w:rPr>
                <w:rFonts w:ascii="Calibri" w:eastAsia="宋体" w:hAnsi="Calibri" w:cs="Calibri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Calibri" w:eastAsia="宋体" w:hAnsi="Calibri" w:cs="Calibri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:</w:t>
            </w:r>
          </w:p>
        </w:tc>
        <w:tc>
          <w:tcPr>
            <w:tcW w:w="5228" w:type="dxa"/>
          </w:tcPr>
          <w:p w14:paraId="183390CA" w14:textId="7C916456" w:rsidR="005A0A53" w:rsidRPr="005A0A53" w:rsidRDefault="00F32088" w:rsidP="009C525E">
            <w:pPr>
              <w:widowControl/>
              <w:jc w:val="left"/>
              <w:rPr>
                <w:rFonts w:ascii="Calibri" w:eastAsia="宋体" w:hAnsi="Calibri" w:cs="Calibri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Calibri" w:eastAsia="宋体" w:hAnsi="Calibri" w:cs="Calibri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N</w:t>
            </w:r>
            <w:r>
              <w:rPr>
                <w:rFonts w:ascii="Calibri" w:eastAsia="宋体" w:hAnsi="Calibri" w:cs="Calibri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athan Oliver</w:t>
            </w:r>
          </w:p>
        </w:tc>
      </w:tr>
      <w:tr w:rsidR="005A0A53" w14:paraId="2524534F" w14:textId="77777777" w:rsidTr="00F32088">
        <w:tc>
          <w:tcPr>
            <w:tcW w:w="980" w:type="dxa"/>
          </w:tcPr>
          <w:p w14:paraId="5FB02BB3" w14:textId="691E66A3" w:rsidR="005A0A53" w:rsidRPr="005A0A53" w:rsidRDefault="005A0A53" w:rsidP="009C525E">
            <w:pPr>
              <w:widowControl/>
              <w:jc w:val="left"/>
              <w:rPr>
                <w:rFonts w:ascii="Calibri" w:eastAsia="宋体" w:hAnsi="Calibri" w:cs="Calibri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Calibri" w:eastAsia="宋体" w:hAnsi="Calibri" w:cs="Calibri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D</w:t>
            </w:r>
            <w:r>
              <w:rPr>
                <w:rFonts w:ascii="Calibri" w:eastAsia="宋体" w:hAnsi="Calibri" w:cs="Calibri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ate :</w:t>
            </w:r>
          </w:p>
        </w:tc>
        <w:tc>
          <w:tcPr>
            <w:tcW w:w="5228" w:type="dxa"/>
          </w:tcPr>
          <w:p w14:paraId="04895F94" w14:textId="0DE12534" w:rsidR="005A0A53" w:rsidRPr="005A0A53" w:rsidRDefault="00F32088" w:rsidP="009C525E">
            <w:pPr>
              <w:widowControl/>
              <w:jc w:val="left"/>
              <w:rPr>
                <w:rFonts w:ascii="Calibri" w:eastAsia="宋体" w:hAnsi="Calibri" w:cs="Calibri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Calibri" w:eastAsia="宋体" w:hAnsi="Calibri" w:cs="Calibri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February 2, 2021</w:t>
            </w:r>
          </w:p>
        </w:tc>
      </w:tr>
      <w:tr w:rsidR="00F32088" w14:paraId="363C2919" w14:textId="77777777" w:rsidTr="00F32088">
        <w:tc>
          <w:tcPr>
            <w:tcW w:w="980" w:type="dxa"/>
          </w:tcPr>
          <w:p w14:paraId="5EB9BCCD" w14:textId="75E52ECE" w:rsidR="00F32088" w:rsidRDefault="00F32088" w:rsidP="009C525E">
            <w:pPr>
              <w:widowControl/>
              <w:jc w:val="left"/>
              <w:rPr>
                <w:rFonts w:ascii="Calibri" w:eastAsia="宋体" w:hAnsi="Calibri" w:cs="Calibri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Calibri" w:eastAsia="宋体" w:hAnsi="Calibri" w:cs="Calibri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E</w:t>
            </w:r>
            <w:r>
              <w:rPr>
                <w:rFonts w:ascii="Calibri" w:eastAsia="宋体" w:hAnsi="Calibri" w:cs="Calibri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mail:</w:t>
            </w:r>
          </w:p>
        </w:tc>
        <w:tc>
          <w:tcPr>
            <w:tcW w:w="5228" w:type="dxa"/>
          </w:tcPr>
          <w:p w14:paraId="168CE50F" w14:textId="1BC9EACC" w:rsidR="00F32088" w:rsidRDefault="00F32088" w:rsidP="009C525E">
            <w:pPr>
              <w:widowControl/>
              <w:jc w:val="left"/>
              <w:rPr>
                <w:rFonts w:ascii="Calibri" w:eastAsia="宋体" w:hAnsi="Calibri" w:cs="Calibri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Calibri" w:eastAsia="宋体" w:hAnsi="Calibri" w:cs="Calibri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n</w:t>
            </w:r>
            <w:r>
              <w:rPr>
                <w:rFonts w:ascii="Calibri" w:eastAsia="宋体" w:hAnsi="Calibri" w:cs="Calibri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oliverak@yahoo.com</w:t>
            </w:r>
          </w:p>
        </w:tc>
      </w:tr>
    </w:tbl>
    <w:p w14:paraId="09D8B503" w14:textId="77777777" w:rsidR="005A0A53" w:rsidRDefault="005A0A53" w:rsidP="009C525E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A175622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D74E108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D1EAAE0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1CC9F3B0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775EAE4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703EA74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1F48A666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B17D4E1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96EF2BE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E97E89D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3297490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8462F64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167A0B87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523C8C5F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1B0DD27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1168FBA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7340EFD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F65198A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3003A08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DAA1DFB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6A0C04C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0F751BFF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99D4EA7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9999B1F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EA314E0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120C5F0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08A2CC4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D94FE0B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1FD5236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79D9C60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C61894F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04E39C65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5BC4128F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9CF5F45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51C4BC0C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53AA308D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7AAB722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EEF41E6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1DB0844A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176D851B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98A1D1C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054FCA4C" w14:textId="6B425CBA" w:rsidR="009C525E" w:rsidRPr="00896EE3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</w:pPr>
      <w:r w:rsidRPr="00896EE3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lastRenderedPageBreak/>
        <w:t>#1 - Coal Prices Delivered to Power Sector Nationally 2005 through 2019</w:t>
      </w:r>
    </w:p>
    <w:p w14:paraId="61107C9B" w14:textId="5408DD8B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3280FAF" w14:textId="3DEB9868" w:rsidR="001E52AF" w:rsidRDefault="001E52AF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  <w:t>R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t>esults</w:t>
      </w:r>
    </w:p>
    <w:p w14:paraId="785EABEF" w14:textId="77777777" w:rsidR="001E52AF" w:rsidRDefault="001E52AF" w:rsidP="009C525E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C2D07CF" w14:textId="6C20E695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DA4C46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U</w:t>
      </w:r>
      <w:r w:rsidRPr="00DA4C46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S coal prices delivered to the electricity sector rose sharply to a peak price in 2011, but have steadily dropped nearly 20%. Reductions in domestic coal consumption are mainly due to stiff competition from natural gas power plants and renewables, as well lower than expected demand in electricity</w:t>
      </w:r>
      <w:r w:rsidR="000D1060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</w:t>
      </w:r>
      <w:r w:rsidRPr="00DA4C46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[7]. </w:t>
      </w:r>
      <w:r w:rsidRPr="00DA4C46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Transportation fuel prices for coal deliveries to power plants have decreased during this period, even though transportation </w:t>
      </w:r>
      <w:r w:rsidR="000702F7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has taken a larger share of the total coal price </w:t>
      </w:r>
      <w:r w:rsidRPr="00DA4C46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during </w:t>
      </w:r>
      <w:r w:rsidR="00417CCA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the same</w:t>
      </w:r>
      <w:r w:rsidRPr="00DA4C46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time period, showing that transportation has contributed to the decrease in coal prices, but not the only reason.</w:t>
      </w:r>
    </w:p>
    <w:p w14:paraId="6A305F16" w14:textId="77777777" w:rsidR="00CC1E32" w:rsidRDefault="00CC1E32" w:rsidP="009C525E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</w:pPr>
    </w:p>
    <w:p w14:paraId="78D3975F" w14:textId="06641F51" w:rsidR="009C525E" w:rsidRDefault="009C525E" w:rsidP="009C525E">
      <w:pPr>
        <w:widowControl/>
        <w:jc w:val="center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>
        <w:rPr>
          <w:rFonts w:ascii="Calibri" w:eastAsia="宋体" w:hAnsi="Calibri" w:cs="Calibri" w:hint="eastAsia"/>
          <w:noProof/>
          <w:color w:val="000000" w:themeColor="text1"/>
          <w:kern w:val="0"/>
          <w:sz w:val="22"/>
          <w:szCs w:val="22"/>
        </w:rPr>
        <w:drawing>
          <wp:inline distT="0" distB="0" distL="0" distR="0" wp14:anchorId="4CC40675" wp14:editId="204301B0">
            <wp:extent cx="6645910" cy="3322955"/>
            <wp:effectExtent l="0" t="0" r="0" b="4445"/>
            <wp:docPr id="8" name="图片 8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折线图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6B2A" w14:textId="77777777" w:rsidR="005A0A53" w:rsidRDefault="005A0A53" w:rsidP="00CA6A38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</w:pPr>
    </w:p>
    <w:p w14:paraId="53B1CC10" w14:textId="32EEDD0B" w:rsidR="00FA06DB" w:rsidRDefault="00FA06DB" w:rsidP="00CA6A38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</w:pPr>
      <w:r w:rsidRPr="00FA06DB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</w:rPr>
        <w:t>M</w:t>
      </w:r>
      <w:r w:rsidRPr="00FA06DB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  <w:t>ethod</w:t>
      </w:r>
    </w:p>
    <w:p w14:paraId="7AC222C5" w14:textId="1316EAE2" w:rsidR="00FA06DB" w:rsidRDefault="00FA06DB" w:rsidP="00CA6A38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</w:pPr>
    </w:p>
    <w:p w14:paraId="713D9ED0" w14:textId="658C5DB4" w:rsidR="00FA06DB" w:rsidRPr="00CC1E32" w:rsidRDefault="00CC1E32" w:rsidP="00CA6A38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After an exhaustive search on the EIA website, data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for coal prices delivered to the electricity sector only included years from 2008 to 2019. A different data set was used which included average transportation costs, which can be found in the links below.</w:t>
      </w:r>
    </w:p>
    <w:p w14:paraId="6033935E" w14:textId="77777777" w:rsidR="00FA06DB" w:rsidRDefault="00FA06DB" w:rsidP="00CA6A38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</w:pPr>
    </w:p>
    <w:p w14:paraId="4DA56DAB" w14:textId="52086F5D" w:rsidR="00CA6A38" w:rsidRPr="00CA6A38" w:rsidRDefault="00CA6A38" w:rsidP="00CA6A38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</w:rPr>
      </w:pPr>
      <w:r w:rsidRPr="00CA6A38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</w:rPr>
        <w:t>D</w:t>
      </w:r>
      <w:r w:rsidRPr="00CA6A38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  <w:t>ata Sources</w:t>
      </w:r>
    </w:p>
    <w:p w14:paraId="7238A60F" w14:textId="024C99ED" w:rsidR="00CA6A38" w:rsidRDefault="00CA6A38" w:rsidP="00CA6A38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4FB9CB26" w14:textId="1F158A86" w:rsidR="00173163" w:rsidRPr="00173163" w:rsidRDefault="00173163" w:rsidP="00173163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C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oal Prices</w:t>
      </w:r>
    </w:p>
    <w:p w14:paraId="23768906" w14:textId="4B7AB91E" w:rsidR="00CA6A38" w:rsidRPr="00173163" w:rsidRDefault="00CA6A38" w:rsidP="00173163">
      <w:pPr>
        <w:pStyle w:val="a3"/>
        <w:widowControl/>
        <w:numPr>
          <w:ilvl w:val="1"/>
          <w:numId w:val="4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W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ebsite</w:t>
      </w:r>
      <w:r w:rsidR="00173163"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- </w:t>
      </w:r>
      <w:r w:rsidR="00173163"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https://www.eia.gov/coal/data.php#coalplants</w:t>
      </w:r>
    </w:p>
    <w:p w14:paraId="13AC896A" w14:textId="048A9D9D" w:rsidR="00CA6A38" w:rsidRPr="00173163" w:rsidRDefault="00CA6A38" w:rsidP="00173163">
      <w:pPr>
        <w:pStyle w:val="a3"/>
        <w:widowControl/>
        <w:numPr>
          <w:ilvl w:val="1"/>
          <w:numId w:val="4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D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irect Link</w:t>
      </w:r>
      <w:r w:rsidR="00173163"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- </w:t>
      </w:r>
      <w:r w:rsidR="00173163"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https://www.eia.gov/coal/transportationrates/excel/table1Real.xlsx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</w:t>
      </w:r>
    </w:p>
    <w:p w14:paraId="0A9ACFD0" w14:textId="7A6BBBFC" w:rsidR="00CA6A38" w:rsidRDefault="00CA6A38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1217ADA8" w14:textId="316DCA4B" w:rsidR="0011072E" w:rsidRDefault="0011072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5BF664EE" w14:textId="168AD575" w:rsidR="0011072E" w:rsidRDefault="0011072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672B988F" w14:textId="0E88827D" w:rsidR="0011072E" w:rsidRDefault="0011072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2602B567" w14:textId="50F5E88A" w:rsidR="0011072E" w:rsidRDefault="0011072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04E6D1D9" w14:textId="260D31E6" w:rsidR="0011072E" w:rsidRDefault="0011072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634003A4" w14:textId="29D8A889" w:rsidR="0011072E" w:rsidRDefault="0011072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77C65034" w14:textId="0DFFE330" w:rsidR="0011072E" w:rsidRDefault="0011072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2CBB6B80" w14:textId="2D17D6C8" w:rsidR="0011072E" w:rsidRDefault="0011072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0A3D8290" w14:textId="51AAE095" w:rsidR="009C525E" w:rsidRPr="00DA4C46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lastRenderedPageBreak/>
        <w:t>#2 - Historical Average Annual Henry Hub Natural Gas Prices from 2005 through 2020</w:t>
      </w:r>
    </w:p>
    <w:p w14:paraId="74C68E00" w14:textId="31574860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C804FA8" w14:textId="13FB57A7" w:rsidR="001E52AF" w:rsidRDefault="001E52AF" w:rsidP="009C525E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  <w:t>R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t>esults</w:t>
      </w:r>
    </w:p>
    <w:p w14:paraId="0D3D805C" w14:textId="77777777" w:rsidR="001E52AF" w:rsidRPr="00B66BF3" w:rsidRDefault="001E52AF" w:rsidP="009C525E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00427EFB" w14:textId="0F597AB3" w:rsidR="009C525E" w:rsidRPr="00B66BF3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Natural gas production in the US have seen a sharp increase since 2005 [4], which has coincided with a 77% reduction in the Henry Hub natural gas price during the same time period. </w:t>
      </w: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Technological advances in hydraulic fracturing and horizontal drilling have allowed for production in previously inaccessible shale gas formations, resulting in a boom for natural gas production [5][7].</w:t>
      </w:r>
    </w:p>
    <w:p w14:paraId="120E02BB" w14:textId="64480734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0F6E20A0" w14:textId="7980067A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>
        <w:rPr>
          <w:rFonts w:ascii="Calibri" w:eastAsia="宋体" w:hAnsi="Calibri" w:cs="Calibri" w:hint="eastAsia"/>
          <w:noProof/>
          <w:color w:val="000000" w:themeColor="text1"/>
          <w:kern w:val="0"/>
          <w:sz w:val="22"/>
          <w:szCs w:val="22"/>
        </w:rPr>
        <w:drawing>
          <wp:inline distT="0" distB="0" distL="0" distR="0" wp14:anchorId="071C32C4" wp14:editId="49466CE1">
            <wp:extent cx="6645910" cy="3322955"/>
            <wp:effectExtent l="0" t="0" r="0" b="4445"/>
            <wp:docPr id="9" name="图片 9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, 折线图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655D" w14:textId="77777777" w:rsidR="001E52AF" w:rsidRPr="001E52AF" w:rsidRDefault="001E52AF" w:rsidP="009C525E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</w:pPr>
    </w:p>
    <w:p w14:paraId="21C8E63D" w14:textId="713CCEFF" w:rsidR="00173163" w:rsidRPr="00CA6A38" w:rsidRDefault="00173163" w:rsidP="00173163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</w:rPr>
      </w:pPr>
      <w:r w:rsidRPr="00CA6A38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</w:rPr>
        <w:t>D</w:t>
      </w:r>
      <w:r w:rsidRPr="00CA6A38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  <w:t>ata Sources</w:t>
      </w:r>
    </w:p>
    <w:p w14:paraId="33357080" w14:textId="77777777" w:rsidR="00173163" w:rsidRDefault="00173163" w:rsidP="00173163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2429BD23" w14:textId="3FC6ACB8" w:rsidR="00173163" w:rsidRPr="00173163" w:rsidRDefault="00173163" w:rsidP="00173163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Henry Hub Natural Gas Prices</w:t>
      </w:r>
    </w:p>
    <w:p w14:paraId="7049AAFF" w14:textId="712B8AEC" w:rsidR="00173163" w:rsidRPr="00173163" w:rsidRDefault="00173163" w:rsidP="00173163">
      <w:pPr>
        <w:pStyle w:val="a3"/>
        <w:widowControl/>
        <w:numPr>
          <w:ilvl w:val="1"/>
          <w:numId w:val="5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W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ebsite - https://www.eia.gov/dnav/ng/hist/rngwhhdA.htm</w:t>
      </w:r>
    </w:p>
    <w:p w14:paraId="4B8BCC41" w14:textId="77777777" w:rsidR="00173163" w:rsidRDefault="00173163" w:rsidP="00173163">
      <w:pPr>
        <w:pStyle w:val="a3"/>
        <w:widowControl/>
        <w:numPr>
          <w:ilvl w:val="1"/>
          <w:numId w:val="5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D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irect Link - https://www.eia.gov/dnav/ng/hist_xls/RNGWHHDa.xls</w:t>
      </w:r>
    </w:p>
    <w:p w14:paraId="07398506" w14:textId="77777777" w:rsidR="00173163" w:rsidRDefault="00173163" w:rsidP="00173163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5531FD2F" w14:textId="71272EC1" w:rsidR="00173163" w:rsidRPr="00173163" w:rsidRDefault="00173163" w:rsidP="00173163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</w:t>
      </w:r>
    </w:p>
    <w:p w14:paraId="324A94FE" w14:textId="77777777" w:rsidR="009C525E" w:rsidRPr="00173163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00A8DC89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5228DA2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73351C1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0B3CAC8F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9334E54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80129C4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041AAA9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184DB021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EE6688C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4A16DC8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17FAB9D9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5660B76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209A653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BE8C871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A85D5E2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E8B8578" w14:textId="29491D3D" w:rsidR="009C525E" w:rsidRPr="00B66BF3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t>#3 – US Annual Coal and Natural Gas Electricity Generation from 2005 through 2019</w:t>
      </w:r>
    </w:p>
    <w:p w14:paraId="098C2405" w14:textId="7B8E821D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52290DE" w14:textId="7CD32C9C" w:rsidR="001E52AF" w:rsidRDefault="001E52AF" w:rsidP="009C525E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  <w:t>R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t>esults</w:t>
      </w:r>
    </w:p>
    <w:p w14:paraId="6B77B4BE" w14:textId="77777777" w:rsidR="001E52AF" w:rsidRPr="00B66BF3" w:rsidRDefault="001E52AF" w:rsidP="009C525E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04E8E2F" w14:textId="4624B743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Coal electricity generation in the US peaked in 2007 [13], but since then, the US coal industry has crippled due to several economic forces [7]. In 2019, 92% of US coal was consumed by the electricity sector [2], so any fluctuations in the coal industry are at the whims of the power sector. A 2017 study performed by T. Houser et al. concluded that from 2008 to 2016, 50% of the reduction in coal production was due to electricity generation from natural gas [7]. Between 2005 and 2019, coal generation has dropped by 52%, whereas natural gas generation has increased by 108%.</w:t>
      </w:r>
    </w:p>
    <w:p w14:paraId="09976999" w14:textId="10BAC769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6880BCCB" w14:textId="4249758B" w:rsidR="009C525E" w:rsidRPr="00B66BF3" w:rsidRDefault="009C525E" w:rsidP="009C525E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noProof/>
          <w:color w:val="000000" w:themeColor="text1"/>
          <w:kern w:val="0"/>
          <w:sz w:val="22"/>
          <w:szCs w:val="22"/>
          <w:shd w:val="clear" w:color="auto" w:fill="FFFFFF"/>
        </w:rPr>
        <w:drawing>
          <wp:inline distT="0" distB="0" distL="0" distR="0" wp14:anchorId="172F2E97" wp14:editId="2943528F">
            <wp:extent cx="6645910" cy="3987800"/>
            <wp:effectExtent l="0" t="0" r="0" b="0"/>
            <wp:docPr id="4" name="图片 4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折线图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8E05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68286057" w14:textId="3C951821" w:rsidR="00173163" w:rsidRPr="00CA6A38" w:rsidRDefault="00173163" w:rsidP="00173163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</w:rPr>
      </w:pPr>
      <w:r w:rsidRPr="00CA6A38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</w:rPr>
        <w:t>D</w:t>
      </w:r>
      <w:r w:rsidRPr="00CA6A38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  <w:t>ata Sources</w:t>
      </w:r>
    </w:p>
    <w:p w14:paraId="7004CFA8" w14:textId="77777777" w:rsidR="00173163" w:rsidRDefault="00173163" w:rsidP="00173163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36EB22BF" w14:textId="77777777" w:rsidR="00173163" w:rsidRPr="00173163" w:rsidRDefault="00173163" w:rsidP="00173163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US Annual Coal and Natural Gas Electricity Generation</w:t>
      </w: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 xml:space="preserve"> </w:t>
      </w:r>
    </w:p>
    <w:p w14:paraId="10C097A3" w14:textId="652F42AA" w:rsidR="00173163" w:rsidRPr="00173163" w:rsidRDefault="00173163" w:rsidP="00173163">
      <w:pPr>
        <w:pStyle w:val="a3"/>
        <w:widowControl/>
        <w:numPr>
          <w:ilvl w:val="1"/>
          <w:numId w:val="6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W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ebsite - </w:t>
      </w:r>
      <w:r w:rsidR="0011072E" w:rsidRPr="0011072E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https://www.eia.gov/electricity/data/browser/#/topic/0?agg=2,0,1&amp;fuel=9&amp;geo=g&amp;sec=g&amp;linechart=ELEC.GEN.COW-US-99.A&amp;columnchart=ELEC.GEN.COW-US-99.A&amp;map=ELEC.GEN.COW-US-99.A&amp;freq=A&amp;ctype=linechart&amp;ltype=pin&amp;rtype=s&amp;maptype=0&amp;rse=0&amp;pin=</w:t>
      </w:r>
    </w:p>
    <w:p w14:paraId="5C726EB6" w14:textId="7E084C6C" w:rsidR="009C525E" w:rsidRPr="00173163" w:rsidRDefault="00173163" w:rsidP="009C525E">
      <w:pPr>
        <w:pStyle w:val="a3"/>
        <w:widowControl/>
        <w:numPr>
          <w:ilvl w:val="1"/>
          <w:numId w:val="6"/>
        </w:numPr>
        <w:ind w:firstLineChars="0"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D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irect Link </w:t>
      </w:r>
      <w:r w:rsidR="0011072E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-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</w:t>
      </w:r>
      <w:r w:rsidR="0011072E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Use above link to download csv file</w:t>
      </w:r>
    </w:p>
    <w:p w14:paraId="105ECA53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D0C805F" w14:textId="77777777" w:rsidR="009C525E" w:rsidRPr="0011072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30CE64A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51034E4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E0486ED" w14:textId="54F3B913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11CE739" w14:textId="77777777" w:rsidR="00837A29" w:rsidRDefault="00837A29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BC818E1" w14:textId="77777777" w:rsidR="00837A29" w:rsidRDefault="00837A29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6A233B3" w14:textId="6CDF40DC" w:rsidR="009C525E" w:rsidRPr="00B66BF3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lastRenderedPageBreak/>
        <w:t>#4 - Projected Annual Henry Hub Natural Gas Prices from 2021 through 2040</w:t>
      </w:r>
    </w:p>
    <w:p w14:paraId="47A64AB8" w14:textId="597C7758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16FB458F" w14:textId="735E1D61" w:rsidR="001E52AF" w:rsidRPr="001E52AF" w:rsidRDefault="001E52AF" w:rsidP="009C525E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  <w:t>R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t>esults</w:t>
      </w:r>
    </w:p>
    <w:p w14:paraId="131B8950" w14:textId="77777777" w:rsidR="001E52AF" w:rsidRPr="001E52AF" w:rsidRDefault="001E52AF" w:rsidP="009C525E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</w:pPr>
    </w:p>
    <w:p w14:paraId="518D55E0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T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he EIA’s AOE 2020 reference case projects the Henry Hub natural gas price to not exceed $3.50 per million Btu, and the high oil and gas supply projection hovers around $2.50 and $2.60 after the year 2027. The actual 2020 price of natural gas was much lower than any of the projections, coming out at $2.02, but this should not come as a surprise when considering the historical volatility in prices. COVID-19 had a significant impact on the natural gas price drop in the US, resulting in a drop in natural gas demand [18]. </w:t>
      </w:r>
    </w:p>
    <w:p w14:paraId="362454D5" w14:textId="16C3061A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1E43907C" w14:textId="3A6538EB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noProof/>
          <w:color w:val="000000" w:themeColor="text1"/>
          <w:kern w:val="0"/>
          <w:sz w:val="22"/>
          <w:szCs w:val="22"/>
          <w:shd w:val="clear" w:color="auto" w:fill="FFFFFF"/>
        </w:rPr>
        <w:drawing>
          <wp:inline distT="0" distB="0" distL="0" distR="0" wp14:anchorId="35FADD0D" wp14:editId="6BE0990B">
            <wp:extent cx="6645910" cy="3987800"/>
            <wp:effectExtent l="0" t="0" r="0" b="0"/>
            <wp:docPr id="5" name="图片 5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直方图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635D" w14:textId="7901D860" w:rsidR="0011072E" w:rsidRDefault="0011072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07FC09EB" w14:textId="76322C83" w:rsidR="0011072E" w:rsidRPr="00CA6A38" w:rsidRDefault="0011072E" w:rsidP="0011072E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</w:rPr>
      </w:pPr>
      <w:r w:rsidRPr="00CA6A38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</w:rPr>
        <w:t>D</w:t>
      </w:r>
      <w:r w:rsidRPr="00CA6A38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  <w:t>ata Sources</w:t>
      </w:r>
    </w:p>
    <w:p w14:paraId="6B152EDF" w14:textId="77777777" w:rsidR="0011072E" w:rsidRDefault="0011072E" w:rsidP="0011072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26B40B30" w14:textId="2ECC6035" w:rsidR="0011072E" w:rsidRPr="00173163" w:rsidRDefault="0011072E" w:rsidP="0011072E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Historical Henry Hub Natural Gas Price</w:t>
      </w:r>
    </w:p>
    <w:p w14:paraId="0CEA6499" w14:textId="77777777" w:rsidR="0011072E" w:rsidRPr="00173163" w:rsidRDefault="0011072E" w:rsidP="0011072E">
      <w:pPr>
        <w:pStyle w:val="a3"/>
        <w:widowControl/>
        <w:numPr>
          <w:ilvl w:val="1"/>
          <w:numId w:val="7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W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ebsite - https://www.eia.gov/dnav/ng/hist/rngwhhdA.htm</w:t>
      </w:r>
    </w:p>
    <w:p w14:paraId="172209F7" w14:textId="77777777" w:rsidR="0011072E" w:rsidRDefault="0011072E" w:rsidP="0011072E">
      <w:pPr>
        <w:pStyle w:val="a3"/>
        <w:widowControl/>
        <w:numPr>
          <w:ilvl w:val="1"/>
          <w:numId w:val="7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D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irect Link - https://www.eia.gov/dnav/ng/hist_xls/RNGWHHDa.xls</w:t>
      </w:r>
    </w:p>
    <w:p w14:paraId="529A75BD" w14:textId="0893704F" w:rsidR="0011072E" w:rsidRPr="00173163" w:rsidRDefault="0011072E" w:rsidP="0011072E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Projected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Henry Hub Natural Gas Price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s</w:t>
      </w:r>
    </w:p>
    <w:p w14:paraId="6BF68012" w14:textId="61587025" w:rsidR="0011072E" w:rsidRPr="0011072E" w:rsidRDefault="0011072E" w:rsidP="0011072E">
      <w:pPr>
        <w:pStyle w:val="a3"/>
        <w:widowControl/>
        <w:numPr>
          <w:ilvl w:val="1"/>
          <w:numId w:val="7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W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ebsite -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</w:t>
      </w:r>
      <w:r w:rsidRPr="00BD19C2">
        <w:rPr>
          <w:rFonts w:ascii="Calibri" w:eastAsia="宋体" w:hAnsi="Calibri" w:cs="Calibri"/>
          <w:kern w:val="0"/>
          <w:sz w:val="22"/>
          <w:szCs w:val="22"/>
        </w:rPr>
        <w:t>www.eia.gov/outlooks/aeo/tables_side.php</w:t>
      </w:r>
    </w:p>
    <w:p w14:paraId="2DF0228D" w14:textId="11C39F69" w:rsidR="0011072E" w:rsidRPr="0011072E" w:rsidRDefault="0011072E" w:rsidP="0011072E">
      <w:pPr>
        <w:pStyle w:val="a3"/>
        <w:widowControl/>
        <w:numPr>
          <w:ilvl w:val="1"/>
          <w:numId w:val="7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D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irect Link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(Reference Case) - </w:t>
      </w:r>
      <w:r w:rsidRPr="0011072E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https://www.eia.gov/outlooks/aeo/excel/sidecases/dgref/aeotab_13.xlsx</w:t>
      </w:r>
    </w:p>
    <w:p w14:paraId="706A3810" w14:textId="71F11477" w:rsidR="0011072E" w:rsidRPr="0011072E" w:rsidRDefault="0011072E" w:rsidP="0011072E">
      <w:pPr>
        <w:pStyle w:val="a3"/>
        <w:widowControl/>
        <w:numPr>
          <w:ilvl w:val="1"/>
          <w:numId w:val="7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D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irect Link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(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Low Oil and Gas Supply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) - </w:t>
      </w:r>
      <w:r w:rsidRPr="0011072E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https://www.eia.gov/outlooks/aeo/excel/sidecases/dglogs/aeotab_13.xlsx</w:t>
      </w:r>
    </w:p>
    <w:p w14:paraId="57B5AF1A" w14:textId="4338DA59" w:rsidR="0011072E" w:rsidRPr="0011072E" w:rsidRDefault="0011072E" w:rsidP="0011072E">
      <w:pPr>
        <w:pStyle w:val="a3"/>
        <w:widowControl/>
        <w:numPr>
          <w:ilvl w:val="1"/>
          <w:numId w:val="7"/>
        </w:numPr>
        <w:ind w:firstLineChars="0"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D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irect Link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(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High Oil and Gas Supply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) - </w:t>
      </w:r>
      <w:r w:rsidRPr="0011072E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https://www.eia.gov/outlooks/aeo/excel/sidecases/dghogs/aeotab_13.xlsx</w:t>
      </w:r>
    </w:p>
    <w:p w14:paraId="56D6C2CD" w14:textId="77777777" w:rsidR="0011072E" w:rsidRPr="0011072E" w:rsidRDefault="0011072E" w:rsidP="009C525E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</w:pPr>
    </w:p>
    <w:p w14:paraId="210AB7FF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33416809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6F40F629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2A307B62" w14:textId="77777777" w:rsidR="009C525E" w:rsidRDefault="009C525E" w:rsidP="009C525E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</w:pPr>
    </w:p>
    <w:p w14:paraId="7812F877" w14:textId="77777777" w:rsidR="009C525E" w:rsidRPr="001E5C00" w:rsidRDefault="009C525E" w:rsidP="009C525E">
      <w:pPr>
        <w:widowControl/>
        <w:jc w:val="left"/>
        <w:rPr>
          <w:sz w:val="22"/>
          <w:szCs w:val="22"/>
          <w:u w:val="single"/>
        </w:rPr>
      </w:pPr>
      <w:r w:rsidRPr="001E5C00">
        <w:rPr>
          <w:rFonts w:ascii="Calibri" w:hAnsi="Calibri" w:cs="Calibri"/>
          <w:color w:val="000000" w:themeColor="text1"/>
          <w:sz w:val="22"/>
          <w:szCs w:val="22"/>
          <w:u w:val="single"/>
          <w:shd w:val="clear" w:color="auto" w:fill="FFFFFF"/>
        </w:rPr>
        <w:lastRenderedPageBreak/>
        <w:t xml:space="preserve">#5 - </w:t>
      </w:r>
      <w:r w:rsidRPr="001E5C00">
        <w:rPr>
          <w:rFonts w:ascii="Calibri" w:hAnsi="Calibri"/>
          <w:color w:val="1D2228"/>
          <w:sz w:val="22"/>
          <w:szCs w:val="22"/>
          <w:u w:val="single"/>
          <w:shd w:val="clear" w:color="auto" w:fill="FFFFFF"/>
        </w:rPr>
        <w:t xml:space="preserve">Natural Gas Electricity Generation </w:t>
      </w:r>
      <w:r>
        <w:rPr>
          <w:rFonts w:ascii="Calibri" w:hAnsi="Calibri"/>
          <w:color w:val="1D2228"/>
          <w:sz w:val="22"/>
          <w:szCs w:val="22"/>
          <w:u w:val="single"/>
          <w:shd w:val="clear" w:color="auto" w:fill="FFFFFF"/>
        </w:rPr>
        <w:t>a</w:t>
      </w:r>
      <w:r w:rsidRPr="001E5C00">
        <w:rPr>
          <w:rFonts w:ascii="Calibri" w:hAnsi="Calibri"/>
          <w:color w:val="1D2228"/>
          <w:sz w:val="22"/>
          <w:szCs w:val="22"/>
          <w:u w:val="single"/>
          <w:shd w:val="clear" w:color="auto" w:fill="FFFFFF"/>
        </w:rPr>
        <w:t xml:space="preserve">s </w:t>
      </w:r>
      <w:r>
        <w:rPr>
          <w:rFonts w:ascii="Calibri" w:hAnsi="Calibri"/>
          <w:color w:val="1D2228"/>
          <w:sz w:val="22"/>
          <w:szCs w:val="22"/>
          <w:u w:val="single"/>
          <w:shd w:val="clear" w:color="auto" w:fill="FFFFFF"/>
        </w:rPr>
        <w:t>a</w:t>
      </w:r>
      <w:r w:rsidRPr="001E5C00">
        <w:rPr>
          <w:rFonts w:ascii="Calibri" w:hAnsi="Calibri"/>
          <w:color w:val="1D2228"/>
          <w:sz w:val="22"/>
          <w:szCs w:val="22"/>
          <w:u w:val="single"/>
          <w:shd w:val="clear" w:color="auto" w:fill="FFFFFF"/>
        </w:rPr>
        <w:t xml:space="preserve"> Share </w:t>
      </w:r>
      <w:r>
        <w:rPr>
          <w:rFonts w:ascii="Calibri" w:hAnsi="Calibri"/>
          <w:color w:val="1D2228"/>
          <w:sz w:val="22"/>
          <w:szCs w:val="22"/>
          <w:u w:val="single"/>
          <w:shd w:val="clear" w:color="auto" w:fill="FFFFFF"/>
        </w:rPr>
        <w:t>o</w:t>
      </w:r>
      <w:r w:rsidRPr="001E5C00">
        <w:rPr>
          <w:rFonts w:ascii="Calibri" w:hAnsi="Calibri"/>
          <w:color w:val="1D2228"/>
          <w:sz w:val="22"/>
          <w:szCs w:val="22"/>
          <w:u w:val="single"/>
          <w:shd w:val="clear" w:color="auto" w:fill="FFFFFF"/>
        </w:rPr>
        <w:t xml:space="preserve">f Coal Generation </w:t>
      </w:r>
      <w:r>
        <w:rPr>
          <w:rFonts w:ascii="Calibri" w:hAnsi="Calibri"/>
          <w:color w:val="1D2228"/>
          <w:sz w:val="22"/>
          <w:szCs w:val="22"/>
          <w:u w:val="single"/>
          <w:shd w:val="clear" w:color="auto" w:fill="FFFFFF"/>
        </w:rPr>
        <w:t>i</w:t>
      </w:r>
      <w:r w:rsidRPr="001E5C00">
        <w:rPr>
          <w:rFonts w:ascii="Calibri" w:hAnsi="Calibri"/>
          <w:color w:val="1D2228"/>
          <w:sz w:val="22"/>
          <w:szCs w:val="22"/>
          <w:u w:val="single"/>
          <w:shd w:val="clear" w:color="auto" w:fill="FFFFFF"/>
        </w:rPr>
        <w:t>n 2040</w:t>
      </w:r>
    </w:p>
    <w:p w14:paraId="350755C4" w14:textId="43E5749E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54B7AC96" w14:textId="60DF57F1" w:rsidR="001E52AF" w:rsidRPr="001E52AF" w:rsidRDefault="001E52AF" w:rsidP="009C525E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  <w:t>R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t>esults</w:t>
      </w:r>
    </w:p>
    <w:p w14:paraId="27EC7ACD" w14:textId="77777777" w:rsidR="001E52AF" w:rsidRDefault="001E52AF" w:rsidP="009C525E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</w:pPr>
    </w:p>
    <w:p w14:paraId="1DE643D4" w14:textId="77777777" w:rsidR="00837A29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Using a 1% growth rate for total electricity generation, a 0.8% growth rate for natural gas electricity generation, and a 40 year service life span for coal power plants, it is projected that electricity generated from natural gas will be approximately 19 times greater than coal electricity generation by 2040.</w:t>
      </w:r>
    </w:p>
    <w:p w14:paraId="012BA31E" w14:textId="733D9E13" w:rsidR="005A0A53" w:rsidRPr="009C525E" w:rsidRDefault="005A0A53" w:rsidP="009C525E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</w:t>
      </w:r>
    </w:p>
    <w:p w14:paraId="68B1CB1D" w14:textId="77777777" w:rsidR="00CC1E32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>
        <w:rPr>
          <w:rFonts w:ascii="Calibri" w:eastAsia="宋体" w:hAnsi="Calibri" w:cs="Calibri" w:hint="eastAsia"/>
          <w:noProof/>
          <w:color w:val="000000" w:themeColor="text1"/>
          <w:kern w:val="0"/>
          <w:sz w:val="22"/>
          <w:szCs w:val="22"/>
          <w:shd w:val="clear" w:color="auto" w:fill="FFFFFF"/>
        </w:rPr>
        <w:drawing>
          <wp:inline distT="0" distB="0" distL="0" distR="0" wp14:anchorId="727A67EE" wp14:editId="603BDE7B">
            <wp:extent cx="6645910" cy="3005847"/>
            <wp:effectExtent l="0" t="0" r="0" b="4445"/>
            <wp:docPr id="6" name="图片 6" descr="图表, 饼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饼图&#10;&#10;描述已自动生成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624"/>
                    <a:stretch/>
                  </pic:blipFill>
                  <pic:spPr bwMode="auto">
                    <a:xfrm>
                      <a:off x="0" y="0"/>
                      <a:ext cx="6645910" cy="3005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61626" w14:textId="77777777" w:rsidR="001E52AF" w:rsidRDefault="001E52AF" w:rsidP="00CC1E32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0151371C" w14:textId="3FA25AD8" w:rsidR="00CC1E32" w:rsidRPr="00CC1E32" w:rsidRDefault="00CC1E32" w:rsidP="00CC1E32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 w:rsidRPr="00CC1E32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t>Method</w:t>
      </w:r>
    </w:p>
    <w:p w14:paraId="79F68E5A" w14:textId="34626F78" w:rsidR="00CC1E32" w:rsidRDefault="00CC1E32" w:rsidP="00CC1E32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38F92317" w14:textId="6130790D" w:rsidR="00CC1E32" w:rsidRDefault="00CC1E32" w:rsidP="00CC1E32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G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rowth rates for natural gas and total electricity generation </w:t>
      </w:r>
      <w:r w:rsidR="005A0A5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were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used from the EIA AEO 2020 report to project electricity generation in 2040. Coal power plants entering service prior to 2000 </w:t>
      </w:r>
      <w:r w:rsidR="005A0A5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are assumed to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retire</w:t>
      </w:r>
      <w:r w:rsidR="005A0A5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by 2040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.</w:t>
      </w:r>
      <w:r w:rsidR="005A0A5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Coal electricity generation and coal capacity are assumed to be proportional, so when coal power plants are retired, a proportional amount of coal electricity generation is reduced. A detailed list of assumptions is shown below.</w:t>
      </w:r>
    </w:p>
    <w:p w14:paraId="2303439B" w14:textId="77777777" w:rsidR="00CC1E32" w:rsidRPr="005A0A53" w:rsidRDefault="00CC1E32" w:rsidP="00CC1E32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</w:pPr>
    </w:p>
    <w:p w14:paraId="5DA4A7EC" w14:textId="23BBE2BF" w:rsidR="00CC1E32" w:rsidRPr="00CA6A38" w:rsidRDefault="00CC1E32" w:rsidP="00CC1E32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 w:rsidRPr="00CA6A38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A</w:t>
      </w:r>
      <w:r w:rsidRPr="00CA6A3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ssumptions</w:t>
      </w:r>
    </w:p>
    <w:p w14:paraId="10CAF010" w14:textId="77777777" w:rsidR="00CC1E32" w:rsidRDefault="00CC1E32" w:rsidP="00CC1E32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Use coal, natural gas, and total electricity generation from 2019 as a baseline [19].</w:t>
      </w:r>
    </w:p>
    <w:p w14:paraId="54685BCB" w14:textId="77777777" w:rsidR="00CC1E32" w:rsidRDefault="00CC1E32" w:rsidP="00CC1E32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Assume electricity generation grows at 1% per year to 2040. Based on EIA AEO 2020 [9].</w:t>
      </w:r>
    </w:p>
    <w:p w14:paraId="42966D9D" w14:textId="77777777" w:rsidR="00CC1E32" w:rsidRDefault="00CC1E32" w:rsidP="00CC1E32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Assume natural gas electricity generation grows at 0.8% per year to 2040. Based on EIA AEO 2020 [9].</w:t>
      </w:r>
    </w:p>
    <w:p w14:paraId="1FF7E4F9" w14:textId="77777777" w:rsidR="00CC1E32" w:rsidRDefault="00CC1E32" w:rsidP="00CC1E32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U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sing assumptions 1-3, natural gas and total electricity generation in 2040 can be projected.</w:t>
      </w:r>
    </w:p>
    <w:p w14:paraId="0417DC22" w14:textId="3BC4C180" w:rsidR="00CC1E32" w:rsidRDefault="00CC1E32" w:rsidP="00CC1E32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A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ssume coal power plants retire after 40 years of service [8]. Any power plant beginning operation before 2000 will be removed from service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by 2040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.</w:t>
      </w:r>
    </w:p>
    <w:p w14:paraId="06401083" w14:textId="0AC42FC3" w:rsidR="00CC1E32" w:rsidRDefault="00CC1E32" w:rsidP="00CC1E32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Coal prices will remain high enough that new coal power plants will not be constructed.</w:t>
      </w:r>
    </w:p>
    <w:p w14:paraId="2264B642" w14:textId="793BAE2D" w:rsidR="00CC1E32" w:rsidRPr="00CA6A38" w:rsidRDefault="00CC1E32" w:rsidP="00CC1E32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A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ssume direct relationship between coal capacity and coal electricity generation. As coal power plants are removed from service, coal electricity generation is proportionally reduced. </w:t>
      </w:r>
      <w:r w:rsidRPr="00CA6A3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Data from 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F</w:t>
      </w:r>
      <w:r w:rsidRPr="00CA6A3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orm EIA-860M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, released in</w:t>
      </w:r>
      <w:r w:rsidRPr="00CA6A3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December 2019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,</w:t>
      </w:r>
      <w:r w:rsidRPr="00CA6A3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was used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to calculate coal capacity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in 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2019 and 2040. Coal generation in 2019 is known, therefore coal electricity generation in 2040 can be determined.</w:t>
      </w:r>
    </w:p>
    <w:p w14:paraId="69FE58E1" w14:textId="7D4C8A04" w:rsidR="00CC1E32" w:rsidRDefault="00CC1E32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C57AFF7" w14:textId="4B0681F4" w:rsidR="001E52AF" w:rsidRDefault="001E52AF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53B444C8" w14:textId="45BF9003" w:rsidR="001E52AF" w:rsidRDefault="001E52AF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1049762" w14:textId="083071B5" w:rsidR="001E52AF" w:rsidRDefault="001E52AF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586DDD5" w14:textId="61F90D3E" w:rsidR="001E52AF" w:rsidRDefault="001E52AF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7C3C039" w14:textId="605C4E3F" w:rsidR="009C525E" w:rsidRPr="0011072E" w:rsidRDefault="00CA6A38" w:rsidP="009C525E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</w:pPr>
      <w:r w:rsidRPr="00CA6A38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  <w:lastRenderedPageBreak/>
        <w:t>D</w:t>
      </w:r>
      <w:r w:rsidRPr="00CA6A38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t>ata Sources</w:t>
      </w:r>
    </w:p>
    <w:p w14:paraId="18D28755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1379EFB6" w14:textId="77777777" w:rsidR="00D6027E" w:rsidRDefault="00D6027E" w:rsidP="00D6027E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C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oal, Natural Gas and Total Electricity Generation in 2019</w:t>
      </w:r>
    </w:p>
    <w:p w14:paraId="23D3B20A" w14:textId="1E93E4FD" w:rsidR="00D6027E" w:rsidRPr="00D6027E" w:rsidRDefault="00D6027E" w:rsidP="00D6027E">
      <w:pPr>
        <w:pStyle w:val="a3"/>
        <w:widowControl/>
        <w:numPr>
          <w:ilvl w:val="1"/>
          <w:numId w:val="3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 w:rsidRPr="00D6027E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Website</w:t>
      </w:r>
      <w:r w:rsidRPr="00D6027E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-</w:t>
      </w:r>
      <w:r w:rsidRPr="00D6027E">
        <w:rPr>
          <w:rFonts w:ascii="Calibri" w:eastAsia="宋体" w:hAnsi="Calibri" w:cs="Calibri"/>
          <w:kern w:val="0"/>
          <w:sz w:val="22"/>
          <w:szCs w:val="22"/>
        </w:rPr>
        <w:t>www.eia.gov/electricity/data/browser/#/topic/0?agg=2,0,1&amp;fuel=p&amp;geo=g&amp;sec=008&amp;linechart=ELEC.GEN.ALL-US-98.A&amp;columnchart=ELEC.GEN.ALL-US-98.A&amp;map=ELEC.GEN.ALL-US-98.A&amp;freq=A&amp;ctype=linechart&amp;ltype=pin&amp;rtype=s&amp;pin=&amp;rse=0&amp;maptype=0</w:t>
      </w:r>
    </w:p>
    <w:p w14:paraId="2AC485EB" w14:textId="2C0A4AC2" w:rsidR="00D6027E" w:rsidRPr="00D6027E" w:rsidRDefault="00D6027E" w:rsidP="00D6027E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/>
          <w:kern w:val="0"/>
          <w:sz w:val="22"/>
          <w:szCs w:val="22"/>
        </w:rPr>
        <w:t xml:space="preserve">Future </w:t>
      </w:r>
      <w:r>
        <w:rPr>
          <w:rFonts w:ascii="Calibri" w:eastAsia="宋体" w:hAnsi="Calibri" w:cs="Calibri" w:hint="eastAsia"/>
          <w:kern w:val="0"/>
          <w:sz w:val="22"/>
          <w:szCs w:val="22"/>
        </w:rPr>
        <w:t>N</w:t>
      </w:r>
      <w:r>
        <w:rPr>
          <w:rFonts w:ascii="Calibri" w:eastAsia="宋体" w:hAnsi="Calibri" w:cs="Calibri"/>
          <w:kern w:val="0"/>
          <w:sz w:val="22"/>
          <w:szCs w:val="22"/>
        </w:rPr>
        <w:t>atural Gas and Total Electricity Generation Growth Rates</w:t>
      </w:r>
    </w:p>
    <w:p w14:paraId="21E2CC38" w14:textId="6F132B24" w:rsidR="00D6027E" w:rsidRPr="00D6027E" w:rsidRDefault="00D6027E" w:rsidP="00D6027E">
      <w:pPr>
        <w:pStyle w:val="a3"/>
        <w:widowControl/>
        <w:numPr>
          <w:ilvl w:val="1"/>
          <w:numId w:val="3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/>
          <w:kern w:val="0"/>
          <w:sz w:val="22"/>
          <w:szCs w:val="22"/>
        </w:rPr>
        <w:t xml:space="preserve">Website </w:t>
      </w:r>
      <w:r w:rsidR="00CC1E32">
        <w:rPr>
          <w:rFonts w:ascii="Calibri" w:eastAsia="宋体" w:hAnsi="Calibri" w:cs="Calibri"/>
          <w:kern w:val="0"/>
          <w:sz w:val="22"/>
          <w:szCs w:val="22"/>
        </w:rPr>
        <w:t>-</w:t>
      </w:r>
      <w:r>
        <w:rPr>
          <w:rFonts w:ascii="Calibri" w:eastAsia="宋体" w:hAnsi="Calibri" w:cs="Calibri"/>
          <w:kern w:val="0"/>
          <w:sz w:val="22"/>
          <w:szCs w:val="22"/>
        </w:rPr>
        <w:t xml:space="preserve"> </w:t>
      </w:r>
      <w:r w:rsidRPr="00D6027E">
        <w:rPr>
          <w:rFonts w:ascii="Calibri" w:eastAsia="宋体" w:hAnsi="Calibri" w:cs="Calibri"/>
          <w:kern w:val="0"/>
          <w:sz w:val="22"/>
          <w:szCs w:val="22"/>
        </w:rPr>
        <w:t>https://www.eia.gov/outlooks/aeo/</w:t>
      </w:r>
    </w:p>
    <w:p w14:paraId="0E4A6363" w14:textId="6A2F08A9" w:rsidR="00D6027E" w:rsidRPr="00D6027E" w:rsidRDefault="00D6027E" w:rsidP="00D6027E">
      <w:pPr>
        <w:pStyle w:val="a3"/>
        <w:widowControl/>
        <w:numPr>
          <w:ilvl w:val="1"/>
          <w:numId w:val="3"/>
        </w:numPr>
        <w:ind w:firstLineChars="0"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kern w:val="0"/>
          <w:sz w:val="22"/>
          <w:szCs w:val="22"/>
        </w:rPr>
        <w:t>D</w:t>
      </w:r>
      <w:r>
        <w:rPr>
          <w:rFonts w:ascii="Calibri" w:eastAsia="宋体" w:hAnsi="Calibri" w:cs="Calibri"/>
          <w:kern w:val="0"/>
          <w:sz w:val="22"/>
          <w:szCs w:val="22"/>
        </w:rPr>
        <w:t xml:space="preserve">irect Link - </w:t>
      </w:r>
      <w:r w:rsidRPr="00D6027E">
        <w:rPr>
          <w:rFonts w:ascii="Calibri" w:eastAsia="宋体" w:hAnsi="Calibri" w:cs="Calibri"/>
          <w:kern w:val="0"/>
          <w:sz w:val="22"/>
          <w:szCs w:val="22"/>
        </w:rPr>
        <w:t>https://www.eia.gov/outlooks/aeo/ppt/AEO2020%20Electricity.pptx</w:t>
      </w:r>
    </w:p>
    <w:p w14:paraId="061C7700" w14:textId="64986CF4" w:rsidR="00D6027E" w:rsidRDefault="00D6027E" w:rsidP="00D6027E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 w:rsidRPr="00D6027E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C</w:t>
      </w:r>
      <w:r w:rsidRPr="00D6027E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oal Capacity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in 2019</w:t>
      </w:r>
    </w:p>
    <w:p w14:paraId="5F2B5581" w14:textId="6CA4B76B" w:rsidR="009C525E" w:rsidRDefault="00D6027E" w:rsidP="00D6027E">
      <w:pPr>
        <w:pStyle w:val="a3"/>
        <w:widowControl/>
        <w:numPr>
          <w:ilvl w:val="1"/>
          <w:numId w:val="3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Website - </w:t>
      </w:r>
      <w:r w:rsidRPr="00D6027E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https://www.eia.gov/electricity/data/eia860m/</w:t>
      </w:r>
    </w:p>
    <w:p w14:paraId="061D73E5" w14:textId="463C455F" w:rsidR="00D6027E" w:rsidRPr="00D6027E" w:rsidRDefault="00D6027E" w:rsidP="00D6027E">
      <w:pPr>
        <w:pStyle w:val="a3"/>
        <w:widowControl/>
        <w:numPr>
          <w:ilvl w:val="1"/>
          <w:numId w:val="3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Direct Link - </w:t>
      </w:r>
      <w:r w:rsidRPr="00D6027E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https://www.eia.gov/electricity/data/eia860m/archive/xls/december_generator2019.xlsx</w:t>
      </w:r>
    </w:p>
    <w:p w14:paraId="5F7032AE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5475BBF5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3697444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1E02AEFF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90D7C7F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8C4B9A9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81CAFEF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3D95CA2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E40E53B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5DC7FA2C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08EFC34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4E05829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E5F2D4B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1E20F22E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2F3D57A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8E1A25F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15987721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5C6DC8B6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70D3316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A193E39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52FA7BA6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B9CEDF0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857D0C5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6BB27D5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5A9045D4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56F9AD0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36BED9B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29C9F52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FD9E8E2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02B2E93F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79CBF38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0A9ED612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00717D1E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1A67501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C6B3537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15CE6B1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5F64C3C9" w14:textId="2615610A" w:rsidR="009C525E" w:rsidRPr="00B66BF3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lastRenderedPageBreak/>
        <w:t>#6 - Annual Coal Capacity Retirements from 2005 through 2020</w:t>
      </w:r>
    </w:p>
    <w:p w14:paraId="006E3010" w14:textId="1E36829F" w:rsidR="001E52AF" w:rsidRDefault="001E52AF" w:rsidP="009C525E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5BBD3535" w14:textId="7DDC868F" w:rsidR="001E52AF" w:rsidRDefault="001E52AF" w:rsidP="001E52AF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  <w:t>R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t>esults</w:t>
      </w:r>
    </w:p>
    <w:p w14:paraId="2C3DD911" w14:textId="77777777" w:rsidR="001E52AF" w:rsidRPr="001E52AF" w:rsidRDefault="001E52AF" w:rsidP="009C525E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2911261" w14:textId="29F16DE5" w:rsidR="009C525E" w:rsidRPr="00B66BF3" w:rsidRDefault="009C525E" w:rsidP="009C525E">
      <w:pPr>
        <w:widowControl/>
        <w:jc w:val="left"/>
        <w:rPr>
          <w:rFonts w:ascii="Calibri" w:hAnsi="Calibri" w:cs="Calibri"/>
          <w:color w:val="000000" w:themeColor="text1"/>
          <w:sz w:val="22"/>
          <w:szCs w:val="22"/>
        </w:rPr>
      </w:pPr>
      <w:r w:rsidRPr="00B66BF3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Coal retirements managed to stay relatively low </w:t>
      </w:r>
      <w: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during</w:t>
      </w:r>
      <w:r w:rsidRPr="00B66BF3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the first decade of the 21</w:t>
      </w:r>
      <w:r w:rsidRPr="00B66BF3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  <w:vertAlign w:val="superscript"/>
        </w:rPr>
        <w:t>st</w:t>
      </w:r>
      <w:r w:rsidRPr="00B66BF3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century, but competing sources of electricity and aging plants have led to a drastic increase in coal plant retirements in the past 10 years.</w:t>
      </w:r>
      <w: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Due to lower costs of energy for natural gas and renewables, coal power plants have been used less frequently, reducing profits and thus increasing the likelihood of retirement [15]. Other reasons include plants reaching the end of service life [17], low growth in electricity demand [17], and stricter emissions standards [16].</w:t>
      </w:r>
    </w:p>
    <w:p w14:paraId="20821AD0" w14:textId="1AB25984" w:rsidR="001E52AF" w:rsidRDefault="009C525E" w:rsidP="00837A29">
      <w:r>
        <w:rPr>
          <w:noProof/>
        </w:rPr>
        <w:drawing>
          <wp:inline distT="0" distB="0" distL="0" distR="0" wp14:anchorId="77D3DCF6" wp14:editId="09D7187D">
            <wp:extent cx="6645910" cy="3987800"/>
            <wp:effectExtent l="0" t="0" r="0" b="0"/>
            <wp:docPr id="7" name="图片 7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条形图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EF26" w14:textId="77777777" w:rsidR="00837A29" w:rsidRPr="00837A29" w:rsidRDefault="00837A29" w:rsidP="00837A29">
      <w:pPr>
        <w:rPr>
          <w:rFonts w:hint="eastAsia"/>
        </w:rPr>
      </w:pPr>
    </w:p>
    <w:p w14:paraId="2B1AE18F" w14:textId="56C132FE" w:rsidR="0011072E" w:rsidRPr="00CA6A38" w:rsidRDefault="0011072E" w:rsidP="0011072E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</w:rPr>
      </w:pPr>
      <w:r w:rsidRPr="00CA6A38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</w:rPr>
        <w:t>D</w:t>
      </w:r>
      <w:r w:rsidRPr="00CA6A38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  <w:t>ata Sources</w:t>
      </w:r>
    </w:p>
    <w:p w14:paraId="414BFAAC" w14:textId="77777777" w:rsidR="0011072E" w:rsidRDefault="0011072E" w:rsidP="0011072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1ADC7C84" w14:textId="1A97B1C4" w:rsidR="0011072E" w:rsidRPr="00173163" w:rsidRDefault="0011072E" w:rsidP="0011072E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US 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Coal Retirements</w:t>
      </w: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 xml:space="preserve"> </w:t>
      </w:r>
    </w:p>
    <w:p w14:paraId="17A19A3D" w14:textId="54089D27" w:rsidR="0011072E" w:rsidRPr="00173163" w:rsidRDefault="0011072E" w:rsidP="0011072E">
      <w:pPr>
        <w:pStyle w:val="a3"/>
        <w:widowControl/>
        <w:numPr>
          <w:ilvl w:val="1"/>
          <w:numId w:val="8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W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ebsite - </w:t>
      </w:r>
      <w:r w:rsidR="00241E5F" w:rsidRPr="00241E5F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https://www.eia.gov/electricity/data/eia860m/</w:t>
      </w:r>
    </w:p>
    <w:p w14:paraId="2DA6D82C" w14:textId="16CF6053" w:rsidR="0011072E" w:rsidRPr="00173163" w:rsidRDefault="0011072E" w:rsidP="0011072E">
      <w:pPr>
        <w:pStyle w:val="a3"/>
        <w:widowControl/>
        <w:numPr>
          <w:ilvl w:val="1"/>
          <w:numId w:val="8"/>
        </w:numPr>
        <w:ind w:firstLineChars="0"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D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irect Link 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-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</w:t>
      </w:r>
      <w:r w:rsidR="00FA06DB" w:rsidRPr="00FA06DB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https://www.eia.gov/electricity/data/eia860m/xls/november_generator2020.xlsx</w:t>
      </w:r>
    </w:p>
    <w:p w14:paraId="6812C72F" w14:textId="337043C5" w:rsidR="009C525E" w:rsidRPr="0011072E" w:rsidRDefault="009C525E">
      <w:pPr>
        <w:rPr>
          <w:rFonts w:hint="eastAsia"/>
        </w:rPr>
      </w:pPr>
    </w:p>
    <w:p w14:paraId="74E4B368" w14:textId="04C38AA1" w:rsidR="009C525E" w:rsidRDefault="009C525E"/>
    <w:p w14:paraId="5CAA010D" w14:textId="00F74344" w:rsidR="009C525E" w:rsidRDefault="009C525E"/>
    <w:p w14:paraId="28DC3EA1" w14:textId="245B5F70" w:rsidR="009C525E" w:rsidRDefault="009C525E"/>
    <w:p w14:paraId="60690C76" w14:textId="390FF8FA" w:rsidR="009C525E" w:rsidRDefault="009C525E"/>
    <w:p w14:paraId="34CF5268" w14:textId="1099337B" w:rsidR="009C525E" w:rsidRDefault="009C525E"/>
    <w:p w14:paraId="6058A509" w14:textId="43C042AE" w:rsidR="009C525E" w:rsidRDefault="009C525E"/>
    <w:p w14:paraId="41CAE314" w14:textId="1F765640" w:rsidR="009C525E" w:rsidRDefault="009C525E"/>
    <w:p w14:paraId="19D7A2E1" w14:textId="00904C1D" w:rsidR="009C525E" w:rsidRDefault="009C525E"/>
    <w:p w14:paraId="3AC494C1" w14:textId="228B8E00" w:rsidR="009C525E" w:rsidRDefault="009C525E"/>
    <w:p w14:paraId="5ED36BCB" w14:textId="6FDB23C2" w:rsidR="009C525E" w:rsidRDefault="009C525E"/>
    <w:p w14:paraId="44F7C196" w14:textId="19936F73" w:rsidR="009C525E" w:rsidRDefault="009C525E"/>
    <w:p w14:paraId="48274F24" w14:textId="2713F30B" w:rsidR="005A0A53" w:rsidRDefault="005A0A53"/>
    <w:p w14:paraId="2189CE51" w14:textId="065737EF" w:rsidR="009C525E" w:rsidRPr="0011072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 w:rsidRPr="0011072E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  <w:lastRenderedPageBreak/>
        <w:t>R</w:t>
      </w:r>
      <w:r w:rsidRPr="0011072E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t>eferences</w:t>
      </w:r>
    </w:p>
    <w:p w14:paraId="6AFF2086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26776831" w14:textId="3EBCC5DA" w:rsidR="009C525E" w:rsidRPr="00B66BF3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[1] https://www.eia.gov/outlooks/steo/report/coal.php</w:t>
      </w:r>
    </w:p>
    <w:p w14:paraId="4DE4E662" w14:textId="77777777" w:rsidR="009C525E" w:rsidRPr="00B66BF3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[2] </w:t>
      </w:r>
      <w:r w:rsidRPr="00B66BF3">
        <w:rPr>
          <w:rFonts w:ascii="Calibri" w:hAnsi="Calibri" w:cs="Calibri"/>
          <w:color w:val="000000" w:themeColor="text1"/>
          <w:sz w:val="22"/>
          <w:szCs w:val="22"/>
        </w:rPr>
        <w:t>https://www.eia.gov/energyexplained/coal/prices-and-outlook.php#:~:text=In%202019%2C%20the%20national%20average,was%20%2438.53%20per%20short%20ton</w:t>
      </w:r>
    </w:p>
    <w:p w14:paraId="61671B7C" w14:textId="77777777" w:rsidR="009C525E" w:rsidRPr="00B66BF3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[3] https://www.eia.gov/coal/data.php#coalplants</w:t>
      </w:r>
    </w:p>
    <w:p w14:paraId="4B9654BD" w14:textId="77777777" w:rsidR="009C525E" w:rsidRPr="00B66BF3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[4] https://www.eia.gov/energyexplained/natural-gas/factors-affecting-natural-gas-prices.php</w:t>
      </w:r>
    </w:p>
    <w:p w14:paraId="613DB7B1" w14:textId="77777777" w:rsidR="009C525E" w:rsidRPr="00B66BF3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[5] https://www.eia.gov/todayinenergy/detail.php?id=13551</w:t>
      </w:r>
    </w:p>
    <w:p w14:paraId="17BCE3C2" w14:textId="77777777" w:rsidR="009C525E" w:rsidRPr="00B66BF3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[6] https://www.brookings.edu/blog/planetpolicy/2019/01/16/why-theres-no-bringing-coal-back/</w:t>
      </w:r>
    </w:p>
    <w:p w14:paraId="447A56E1" w14:textId="77777777" w:rsidR="009C525E" w:rsidRPr="00B66BF3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[7]</w:t>
      </w:r>
      <w:r w:rsidRPr="00B66BF3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https://www.energypolicy.columbia.edu/research/report/can-coal-make-comeback</w:t>
      </w:r>
    </w:p>
    <w:p w14:paraId="2463C191" w14:textId="77777777" w:rsidR="009C525E" w:rsidRPr="00B66BF3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[8] https://energy.stanford.edu/news/qa-stanford-expert-explains-why-we-continue-burning-coal-energy</w:t>
      </w:r>
    </w:p>
    <w:p w14:paraId="2205AAA0" w14:textId="77777777" w:rsidR="009C525E" w:rsidRPr="00B66BF3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[9] AEO2020 Electricity</w:t>
      </w:r>
    </w:p>
    <w:p w14:paraId="4E6F7286" w14:textId="77777777" w:rsidR="009C525E" w:rsidRPr="00B66BF3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[10] AEO2020 Natural Gas</w:t>
      </w:r>
    </w:p>
    <w:p w14:paraId="24895393" w14:textId="77777777" w:rsidR="009C525E" w:rsidRPr="00B66BF3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[11] https://www.eia.gov/coal/annual/pdf/tableES1.pdf</w:t>
      </w:r>
    </w:p>
    <w:p w14:paraId="43580086" w14:textId="77777777" w:rsidR="009C525E" w:rsidRPr="00B66BF3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[12] https://www.eia.gov/coal/annual/pdf/tableES4.pdf</w:t>
      </w:r>
    </w:p>
    <w:p w14:paraId="2218F185" w14:textId="77777777" w:rsidR="009C525E" w:rsidRPr="00B66BF3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[13] https://www.eia.gov/energyexplained/electricity/electricity-in-the-us-generation-capacity-and-sales.php</w:t>
      </w:r>
    </w:p>
    <w:p w14:paraId="31F630D1" w14:textId="77777777" w:rsidR="009C525E" w:rsidRPr="00B66BF3" w:rsidRDefault="009C525E" w:rsidP="009C525E">
      <w:pPr>
        <w:rPr>
          <w:rFonts w:ascii="Calibri" w:hAnsi="Calibri" w:cs="Calibri"/>
          <w:color w:val="000000" w:themeColor="text1"/>
          <w:sz w:val="22"/>
          <w:szCs w:val="22"/>
        </w:rPr>
      </w:pPr>
      <w:r w:rsidRPr="00B66BF3">
        <w:rPr>
          <w:rFonts w:ascii="Calibri" w:hAnsi="Calibri" w:cs="Calibri"/>
          <w:color w:val="000000" w:themeColor="text1"/>
          <w:sz w:val="22"/>
          <w:szCs w:val="22"/>
        </w:rPr>
        <w:t>[14] https://www.eia.gov/todayinenergy/detail.php?id=37814</w:t>
      </w:r>
    </w:p>
    <w:p w14:paraId="4CBB8FED" w14:textId="77777777" w:rsidR="009C525E" w:rsidRPr="00B66BF3" w:rsidRDefault="009C525E" w:rsidP="009C525E">
      <w:pPr>
        <w:rPr>
          <w:rFonts w:ascii="Calibri" w:hAnsi="Calibri" w:cs="Calibri"/>
          <w:color w:val="000000" w:themeColor="text1"/>
          <w:sz w:val="22"/>
          <w:szCs w:val="22"/>
        </w:rPr>
      </w:pPr>
      <w:r w:rsidRPr="00B66BF3">
        <w:rPr>
          <w:rFonts w:ascii="Calibri" w:hAnsi="Calibri" w:cs="Calibri"/>
          <w:color w:val="000000" w:themeColor="text1"/>
          <w:sz w:val="22"/>
          <w:szCs w:val="22"/>
        </w:rPr>
        <w:t>[15] https://www.eia.gov/todayinenergy/detail.php?id=42155</w:t>
      </w:r>
    </w:p>
    <w:p w14:paraId="528D544F" w14:textId="77777777" w:rsidR="009C525E" w:rsidRPr="00B66BF3" w:rsidRDefault="009C525E" w:rsidP="009C525E">
      <w:pPr>
        <w:rPr>
          <w:rFonts w:ascii="Calibri" w:hAnsi="Calibri" w:cs="Calibri"/>
          <w:color w:val="000000" w:themeColor="text1"/>
          <w:sz w:val="22"/>
          <w:szCs w:val="22"/>
        </w:rPr>
      </w:pPr>
      <w:r w:rsidRPr="00B66BF3">
        <w:rPr>
          <w:rFonts w:ascii="Calibri" w:hAnsi="Calibri" w:cs="Calibri"/>
          <w:color w:val="000000" w:themeColor="text1"/>
          <w:sz w:val="22"/>
          <w:szCs w:val="22"/>
        </w:rPr>
        <w:t>[16] https://www.eia.gov/todayinenergy/detail.php?id=44976</w:t>
      </w:r>
    </w:p>
    <w:p w14:paraId="12E8330B" w14:textId="77777777" w:rsidR="009C525E" w:rsidRDefault="009C525E" w:rsidP="009C525E">
      <w:pPr>
        <w:rPr>
          <w:rFonts w:ascii="Calibri" w:hAnsi="Calibri" w:cs="Calibri"/>
          <w:color w:val="000000" w:themeColor="text1"/>
          <w:sz w:val="22"/>
          <w:szCs w:val="22"/>
        </w:rPr>
      </w:pPr>
      <w:r w:rsidRPr="00B66BF3">
        <w:rPr>
          <w:rFonts w:ascii="Calibri" w:hAnsi="Calibri" w:cs="Calibri"/>
          <w:color w:val="000000" w:themeColor="text1"/>
          <w:sz w:val="22"/>
          <w:szCs w:val="22"/>
        </w:rPr>
        <w:t>[17] https://www.eia.gov/todayinenergy/detail.php?id=40212</w:t>
      </w:r>
    </w:p>
    <w:p w14:paraId="70FAE663" w14:textId="77777777" w:rsidR="009C525E" w:rsidRDefault="009C525E" w:rsidP="009C525E">
      <w:p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[18] </w:t>
      </w:r>
      <w:r w:rsidRPr="00DD57E1">
        <w:rPr>
          <w:rFonts w:ascii="Calibri" w:hAnsi="Calibri" w:cs="Calibri"/>
          <w:color w:val="000000" w:themeColor="text1"/>
          <w:sz w:val="22"/>
          <w:szCs w:val="22"/>
        </w:rPr>
        <w:t>https://www.eia.gov/todayinenergy/detail.php?id=46376</w:t>
      </w:r>
    </w:p>
    <w:p w14:paraId="60B8A3F9" w14:textId="4ED5B74D" w:rsidR="009C525E" w:rsidRDefault="009C525E">
      <w:pPr>
        <w:rPr>
          <w:rFonts w:ascii="Calibri" w:eastAsia="宋体" w:hAnsi="Calibri" w:cs="Calibri"/>
          <w:kern w:val="0"/>
          <w:sz w:val="22"/>
          <w:szCs w:val="22"/>
        </w:rPr>
      </w:pPr>
      <w:r>
        <w:rPr>
          <w:rFonts w:hint="eastAsia"/>
        </w:rPr>
        <w:t>[</w:t>
      </w:r>
      <w:r>
        <w:t xml:space="preserve">19] </w:t>
      </w:r>
      <w:r w:rsidRPr="00427A5A">
        <w:rPr>
          <w:rFonts w:ascii="Calibri" w:eastAsia="宋体" w:hAnsi="Calibri" w:cs="Calibri"/>
          <w:kern w:val="0"/>
          <w:sz w:val="22"/>
          <w:szCs w:val="22"/>
        </w:rPr>
        <w:t>www.eia.gov/electricity/data/browser/#/topic/0?agg=2,0,1&amp;fuel=p&amp;geo=g&amp;sec=008&amp;linechart=ELEC.GEN.ALL-US-98.A&amp;columnchart=ELEC.GEN.ALL-US-98.A&amp;map=ELEC.GEN.ALL-US-98.A&amp;freq=A&amp;ctype=linechart&amp;ltype=pin&amp;rtype=s&amp;pin=&amp;rse=0&amp;maptype=0</w:t>
      </w:r>
    </w:p>
    <w:p w14:paraId="77E5D36B" w14:textId="3F194766" w:rsidR="00CA6A38" w:rsidRPr="00CA6A38" w:rsidRDefault="00CA6A38">
      <w:pPr>
        <w:rPr>
          <w:rFonts w:hint="eastAsia"/>
        </w:rPr>
      </w:pPr>
      <w:r>
        <w:t xml:space="preserve">[20] </w:t>
      </w:r>
      <w:r w:rsidRPr="00CA6A38">
        <w:t>https://www.eia.gov/electricity/data/eia860m/archive/xls/december_generator2019.xlsx</w:t>
      </w:r>
    </w:p>
    <w:sectPr w:rsidR="00CA6A38" w:rsidRPr="00CA6A38" w:rsidSect="00CC1E32">
      <w:pgSz w:w="11906" w:h="16838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5DDC1" w14:textId="77777777" w:rsidR="00320DCF" w:rsidRDefault="00320DCF" w:rsidP="00CC1E32">
      <w:r>
        <w:separator/>
      </w:r>
    </w:p>
  </w:endnote>
  <w:endnote w:type="continuationSeparator" w:id="0">
    <w:p w14:paraId="3C82D050" w14:textId="77777777" w:rsidR="00320DCF" w:rsidRDefault="00320DCF" w:rsidP="00CC1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E1377" w14:textId="77777777" w:rsidR="00320DCF" w:rsidRDefault="00320DCF" w:rsidP="00CC1E32">
      <w:r>
        <w:separator/>
      </w:r>
    </w:p>
  </w:footnote>
  <w:footnote w:type="continuationSeparator" w:id="0">
    <w:p w14:paraId="6F731703" w14:textId="77777777" w:rsidR="00320DCF" w:rsidRDefault="00320DCF" w:rsidP="00CC1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E26C5"/>
    <w:multiLevelType w:val="hybridMultilevel"/>
    <w:tmpl w:val="99EA3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50A77"/>
    <w:multiLevelType w:val="hybridMultilevel"/>
    <w:tmpl w:val="2C3A37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B23CF5"/>
    <w:multiLevelType w:val="hybridMultilevel"/>
    <w:tmpl w:val="8844FB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7977AD"/>
    <w:multiLevelType w:val="hybridMultilevel"/>
    <w:tmpl w:val="63BA343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B5F7962"/>
    <w:multiLevelType w:val="hybridMultilevel"/>
    <w:tmpl w:val="99EA3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1C67F7"/>
    <w:multiLevelType w:val="hybridMultilevel"/>
    <w:tmpl w:val="99EA3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7A5CA9"/>
    <w:multiLevelType w:val="hybridMultilevel"/>
    <w:tmpl w:val="99EA3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521AB6"/>
    <w:multiLevelType w:val="hybridMultilevel"/>
    <w:tmpl w:val="99EA3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63"/>
    <w:rsid w:val="00011499"/>
    <w:rsid w:val="000702F7"/>
    <w:rsid w:val="000D1060"/>
    <w:rsid w:val="0011072E"/>
    <w:rsid w:val="00173163"/>
    <w:rsid w:val="001E52AF"/>
    <w:rsid w:val="00241E5F"/>
    <w:rsid w:val="00320DCF"/>
    <w:rsid w:val="003A1363"/>
    <w:rsid w:val="00417CCA"/>
    <w:rsid w:val="005A0A53"/>
    <w:rsid w:val="005A3641"/>
    <w:rsid w:val="00837A29"/>
    <w:rsid w:val="009C525E"/>
    <w:rsid w:val="00CA6A38"/>
    <w:rsid w:val="00CC1E32"/>
    <w:rsid w:val="00D6027E"/>
    <w:rsid w:val="00F24D05"/>
    <w:rsid w:val="00F32088"/>
    <w:rsid w:val="00FA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2F2C"/>
  <w15:chartTrackingRefBased/>
  <w15:docId w15:val="{0960F000-50C2-C04E-BC42-1530EC30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52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25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A6A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6A38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C1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C1E3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C1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C1E32"/>
    <w:rPr>
      <w:sz w:val="18"/>
      <w:szCs w:val="18"/>
    </w:rPr>
  </w:style>
  <w:style w:type="table" w:styleId="aa">
    <w:name w:val="Table Grid"/>
    <w:basedOn w:val="a1"/>
    <w:uiPriority w:val="39"/>
    <w:rsid w:val="005A0A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58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1377</Words>
  <Characters>7849</Characters>
  <Application>Microsoft Office Word</Application>
  <DocSecurity>0</DocSecurity>
  <Lines>65</Lines>
  <Paragraphs>18</Paragraphs>
  <ScaleCrop>false</ScaleCrop>
  <Company/>
  <LinksUpToDate>false</LinksUpToDate>
  <CharactersWithSpaces>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Oliver | Outform</dc:creator>
  <cp:keywords/>
  <dc:description/>
  <cp:lastModifiedBy>Nathan Oliver | Outform</cp:lastModifiedBy>
  <cp:revision>10</cp:revision>
  <dcterms:created xsi:type="dcterms:W3CDTF">2021-02-02T05:25:00Z</dcterms:created>
  <dcterms:modified xsi:type="dcterms:W3CDTF">2021-02-02T07:59:00Z</dcterms:modified>
</cp:coreProperties>
</file>