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spacing w:after="120" w:before="200"/>
      </w:pPr>
      <w:r>
        <w:rPr>
          <w:b/>
        </w:rPr>
        <w:t xml:space="preserve">Figure 1 (pending generation): </w:t>
      </w:r>
      <w:r>
        <w:rPr>
          <w:i/>
          <w:iCs/>
        </w:rPr>
        <w:t xml:space="preserve">Convergence Trajectory — Accuracy vs. Evaluation Step for Two-Phase Search.</w:t>
      </w:r>
    </w:p>
    <w:p>
      <w:pPr>
        <w:spacing w:after="120"/>
      </w:pPr>
      <w:r>
        <w:t xml:space="preserve">Plot specification: one subplot per dataset (Covertype, MNIST, Adult). X-axis: evaluation step (1 through T_total). Y-axis: cross-validation accuracy at the k value tested at that step. The trajectory should show two visually distinct regimes: Phase 1 (steps 1 through ~7, testing exponentially spaced k values, with accuracy rising steeply) and Phase 2 (remaining steps, testing binary-search midpoints, with accuracy oscillating within a narrow band near the plateau). Mark the Phase 1 → Phase 2 transition with a vertical dashed line. Overlay the grid search optimum as a horizontal reference line.</w:t>
      </w:r>
    </w:p>
    <w:p>
      <w:pPr>
        <w:spacing w:after="120"/>
      </w:pPr>
      <w:r>
        <w:t xml:space="preserve">Expected pattern: Phase 1 evaluations should show a monotonically non-decreasing accuracy trajectory (consistent with Assumption 1), with the largest accuracy gains occurring in the first few steps. Phase 2 evaluations should cluster tightly around the grid search optimum, with the spread narrowing at approximately the geometric rate predicted by Theorem 5 (|k_t − k*| ≤ (U − L) / 2^t). This figure complements Table 1 by showing the shape of convergence rather than just the final summary statistics.</w:t>
      </w:r>
    </w:p>
    <w:p>
      <w:pPr>
        <w:spacing w:after="120"/>
      </w:pPr>
      <w:r>
        <w:t xml:space="preserve">Data requirements: the experimental code must record the full evaluation trajectory — the (k_i, f-tilde(k_i)) pair at every step of both phases — not just the final k-hat. This is the primary data structure from which both Figure 1 and Appendix A are generated.</w:t>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spacing w:after="120" w:before="200"/>
      </w:pPr>
      <w:r>
        <w:rPr>
          <w:b/>
        </w:rPr>
        <w:t xml:space="preserve">Figure 2 (pending generation): </w:t>
      </w:r>
      <w:r>
        <w:rPr>
          <w:i/>
          <w:iCs/>
        </w:rPr>
        <w:t xml:space="preserve">Pareto Frontier — Accuracy vs. Wall-Clock Training Time for All Four Methods.</w:t>
      </w:r>
    </w:p>
    <w:p>
      <w:pPr>
        <w:spacing w:after="120"/>
      </w:pPr>
      <w:r>
        <w:t xml:space="preserve">Plot specification: one subplot per dataset. X-axis: total wall-clock training time (seconds, log scale). Y-axis: best accuracy achieved. Each method is a point cloud (10 runs per method, same seeds), with a distinct marker and colour: grid search (square, grey), random search (triangle, blue), Bayesian optimisation (diamond, orange), Two-Phase Search (circle, green). Draw the Pareto frontier as a connecting line through the non-dominated points.</w:t>
      </w:r>
    </w:p>
    <w:p>
      <w:pPr>
        <w:spacing w:after="120"/>
      </w:pPr>
      <w:r>
        <w:t xml:space="preserve">Expected pattern: Grid search should appear in the upper-right (high accuracy, high time). Random search should appear in the middle (moderate accuracy, moderate time). Bayesian optimisation should sit between random and grid search on both axes. Two-Phase Search should occupy the upper-left region (high accuracy, low time), representing the dominant point on the Pareto frontier. The key visual takeaway is that Two-Phase Search achieves comparable accuracy to grid search at a fraction of the wall-clock cost, placing it at the most efficient point on the frontier. This figure complements Table 2 by making the trade-off visible as a spatial relationship rather than as a table of p-values.</w:t>
      </w:r>
    </w:p>
    <w:p>
      <w:pPr>
        <w:spacing w:after="120"/>
      </w:pPr>
      <w:r>
        <w:t xml:space="preserve">Data requirements: for each method and each run, record total wall-clock time and best accuracy achieved. These are the same metrics reported in Table 1 but plotted rather than tabulated. No additional experimental runs are needed beyond those already specified for Table 1.</w:t>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spacing w:after="120" w:before="200"/>
      </w:pPr>
      <w:r>
        <w:rPr>
          <w:b/>
        </w:rPr>
        <w:t xml:space="preserve">Figure 3 (pending generation): </w:t>
      </w:r>
      <w:r>
        <w:rPr>
          <w:i/>
          <w:iCs/>
        </w:rPr>
        <w:t xml:space="preserve">Log Scaling — Evaluation Count vs. Search Space Size N.</w:t>
      </w:r>
    </w:p>
    <w:p>
      <w:pPr>
        <w:spacing w:after="120"/>
      </w:pPr>
      <w:r>
        <w:t xml:space="preserve">Plot specification: single plot. X-axis: search space size N on a log scale (90, 190, 490, 990, 1990, corresponding to k_max ∈ {100, 200, 500, 1000, 2000} with k_min = 10). Y-axis: total evaluation count. Plot three elements: (1) the theoretical prediction from Theorem 4 as a solid line (log₂(k_max/k_min) + log₂((k_max − k_min)/δ)), (2) the empirical mean evaluation count from Table 3 as points with error bars (± 1 std over 10 runs), and (3) a grid search reference line at evaluations = N/Δ (showing linear O(N) growth) as a dashed grey line for contrast.</w:t>
      </w:r>
    </w:p>
    <w:p>
      <w:pPr>
        <w:spacing w:after="120"/>
      </w:pPr>
      <w:r>
        <w:t xml:space="preserve">Expected pattern: on a log-log plot, the Two-Phase Search evaluation count should grow linearly with log N (a straight line with slope ≈ 1), while the grid search reference line grows linearly with N (a steep curve that diverges rapidly). The empirical points should track the theoretical prediction line closely, with error bars within ±2 evaluations. The widening gap between the two lines as N increases is the visual proof of the exponential advantage. At N = 1990, the gap should be approximately 100× (19 evaluations vs. ~200 for grid search with Δ = 10).</w:t>
      </w:r>
    </w:p>
    <w:p>
      <w:pPr>
        <w:spacing w:after="120"/>
      </w:pPr>
      <w:r>
        <w:t xml:space="preserve">Data requirements: this figure uses exactly the data in Table 3 — no additional experimental runs are needed. The theoretical prediction line is computed from the closed-form formula in Theorem 4 and requires no empirical data. The grid search reference line is a deterministic calculation from N and Δ.</w:t>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