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Two-Phase Search: Research Journal and Provenance Notes</w:t>
      </w:r>
    </w:p>
    <w:p>
      <w:pPr>
        <w:spacing w:after="80"/>
        <w:jc w:val="center"/>
      </w:pPr>
      <w:r>
        <w:rPr>
          <w:i/>
          <w:iCs/>
          <w:sz w:val="22"/>
          <w:szCs w:val="22"/>
        </w:rPr>
        <w:t xml:space="preserve">Companion document to the Two-Phase Search paper</w:t>
      </w:r>
    </w:p>
    <w:p>
      <w:pPr>
        <w:spacing w:after="360"/>
        <w:jc w:val="center"/>
      </w:pPr>
      <w:r>
        <w:rPr>
          <w:sz w:val="20"/>
          <w:szCs w:val="20"/>
        </w:rPr>
        <w:t xml:space="preserve">April 2026</w:t>
      </w:r>
    </w:p>
    <w:p>
      <w:pPr>
        <w:spacing w:after="140"/>
      </w:pPr>
      <w:r>
        <w:rPr>
          <w:i/>
          <w:iCs/>
        </w:rPr>
        <w:t xml:space="preserve">Purpose. </w:t>
      </w:r>
      <w:r>
        <w:t xml:space="preserve">This document catalogues the intellectual lineage of the Two-Phase Search paper: the origin of the research question, the informal reasoning that preceded formal theorems, the analogies and design principles that shaped the approach, and the pre-publication review corrections that strengthened the final draft. None of this material belongs in the paper itself, which is grounded in formal proofs and peer-reviewed literature. This companion document preserves the reasoning for the author's own records, for potential reuse in a thesis introduction or informal presentation, and for future researchers who might ask 'where did this idea come from?'</w:t>
      </w:r>
    </w:p>
    <w:p>
      <w:pPr>
        <w:pStyle w:val="Heading1"/>
        <w:spacing w:after="180" w:before="360"/>
      </w:pPr>
      <w:r>
        <w:rPr>
          <w:b/>
          <w:bCs/>
          <w:sz w:val="30"/>
          <w:szCs w:val="30"/>
        </w:rPr>
        <w:t xml:space="preserve">1. Origin of the Research Question</w:t>
      </w:r>
    </w:p>
    <w:p>
      <w:pPr>
        <w:pStyle w:val="Heading2"/>
        <w:spacing w:after="140" w:before="260"/>
      </w:pPr>
      <w:r>
        <w:rPr>
          <w:b/>
          <w:bCs/>
          <w:sz w:val="26"/>
          <w:szCs w:val="26"/>
        </w:rPr>
        <w:t xml:space="preserve">1.0 The Seed Question</w:t>
      </w:r>
    </w:p>
    <w:p>
      <w:pPr>
        <w:spacing w:after="140"/>
      </w:pPr>
      <w:r>
        <w:t xml:space="preserve">Before the informal algorithm was described, there was a simpler question: why 100 trees? The question arose in a classroom context and was initially phrased awkwardly enough that it did not land cleanly, but after a follow-up googling session and a re-ask, it reduced to two related sub-questions. First, why is 100 the designated default for Random Forests? Second, is 100 actually the optimal number, or is it a convenient round number that balances predictive power against computational cost without being derived from any specific principle?</w:t>
      </w:r>
    </w:p>
    <w:p>
      <w:pPr>
        <w:spacing w:after="140"/>
      </w:pPr>
      <w:r>
        <w:t xml:space="preserve">The professor's response, paraphrased: the default of 100 trees is a common rule of thumb, the objective is to balance computational complexity against gain in model performance, and the optimal number may vary by dataset and problem. As a supporting anecdote, the professor noted that the winner of the Netflix Prize used an ensemble of 107 individual models, not 100.</w:t>
      </w:r>
    </w:p>
    <w:p>
      <w:pPr>
        <w:spacing w:after="140"/>
      </w:pPr>
      <w:r>
        <w:t xml:space="preserve">This exchange contains the seed of the entire paper in two sentences. The professor stated the problem that Two-Phase Search solves without framing it as a research question: the default is a rule of thumb rather than a derived value, and the optimal number varies by dataset. Everything in the paper flows from taking that observation seriously. If the optimal number varies by dataset, and the default is a rule of thumb, then there should be a principled method for finding the actual optimum on any given dataset. The paper's entire premise is the natural follow-up question to the professor's answer — one that the answer itself implicitly raises but does not address.</w:t>
      </w:r>
    </w:p>
    <w:p>
      <w:pPr>
        <w:spacing w:after="140"/>
      </w:pPr>
      <w:r>
        <w:t xml:space="preserve">The Netflix Prize detail is worth preserving as a concrete illustration of the gap the paper addresses. The winning ensemble used 107 models, not the round-number default of 100, and not some wildly different value — a specific number that was found empirically and mattered enough to the competition winners to report. Nobody has ever provided a principled method for arriving at 107 rather than 100 or 150. For informal presentations or talks, a useful one-sentence hook is: "the Netflix Prize winner used 107 models, not 100, and until now nobody has had a principled method for finding that number." The specificity of 107 makes the point more vividly than any general argument about rule-of-thumb defaults.</w:t>
      </w:r>
    </w:p>
    <w:p>
      <w:pPr>
        <w:spacing w:after="140"/>
      </w:pPr>
      <w:r>
        <w:t xml:space="preserve">Chronologically, this exchange predates the informal algorithm specification in Section 1.1. The algorithm was the author's answer to the question the professor had validated but not answered. Without the seed question, there would have been no reason to look for an efficient search method; the 100-tree default would have been accepted as the community accepts it. The research journal therefore records this as the true starting point of the work.</w:t>
      </w:r>
    </w:p>
    <w:p>
      <w:pPr>
        <w:pStyle w:val="Heading2"/>
        <w:spacing w:after="140" w:before="260"/>
      </w:pPr>
      <w:r>
        <w:rPr>
          <w:b/>
          <w:bCs/>
          <w:sz w:val="26"/>
          <w:szCs w:val="26"/>
        </w:rPr>
        <w:t xml:space="preserve">1.1 The Informal Algorithm, Before Any Formalisation</w:t>
      </w:r>
    </w:p>
    <w:p>
      <w:pPr>
        <w:spacing w:after="140"/>
      </w:pPr>
      <w:r>
        <w:t xml:space="preserve">The Two-Phase Search algorithm was first described informally in a chat conversation as a practical intuition about how to find the right number of trees in a Random Forest without running grid search. The original statement, paraphrased from the conversation:</w:t>
      </w:r>
    </w:p>
    <w:p>
      <w:pPr>
        <w:spacing w:after="140"/>
      </w:pPr>
      <w:r>
        <w:rPr>
          <w:i/>
          <w:iCs/>
        </w:rPr>
        <w:t xml:space="preserve">"We could double the number of random trees to include, which would probably be more efficient over multiple iterations and plot where the decline in marginal performance gains kicks in. 10 trees too small, double to 20, 40, 80, 160, 320... then when we notice that the plateau is happening we would take midway point of the most recent iteration and the previous... Then we would either go up or down on our parameter... We could also run it from the other direction being big and then reducing until we reach the same instance of midway telescopic averaging to zero in on the observed ideal number of trees to include in the random forest. These two numbers should be equal to one another regardless of which direction we approach the true ideal from, unless something weird is observed and it doesn't, which would be interesting to know regardless."</w:t>
      </w:r>
    </w:p>
    <w:p>
      <w:pPr>
        <w:spacing w:after="140"/>
      </w:pPr>
      <w:r>
        <w:t xml:space="preserve">Every element of the final formal algorithm is present in this informal statement:</w:t>
      </w:r>
    </w:p>
    <w:p>
      <w:pPr>
        <w:pStyle w:val="ListParagraph"/>
        <w:numPr>
          <w:ilvl w:val="0"/>
          <w:numId w:val="2"/>
        </w:numPr>
        <w:spacing w:after="100"/>
      </w:pPr>
      <w:r>
        <w:t xml:space="preserve">"Double the number... 10, 20, 40, 80, 160, 320" → Phase 1 (Exponential Bracketing), formalised as k_i = k_min · 2^i in Algorithm 1 lines 3–11 and proven in Theorem 1.</w:t>
      </w:r>
    </w:p>
    <w:p>
      <w:pPr>
        <w:pStyle w:val="ListParagraph"/>
        <w:numPr>
          <w:ilvl w:val="0"/>
          <w:numId w:val="2"/>
        </w:numPr>
        <w:spacing w:after="100"/>
      </w:pPr>
      <w:r>
        <w:t xml:space="preserve">"Plot where the decline in marginal performance gains kicks in" → the plateau detection criterion, formalised as Assumption 2 (windowed average gradient threshold) and proven correct in Theorem 2.</w:t>
      </w:r>
    </w:p>
    <w:p>
      <w:pPr>
        <w:pStyle w:val="ListParagraph"/>
        <w:numPr>
          <w:ilvl w:val="0"/>
          <w:numId w:val="2"/>
        </w:numPr>
        <w:spacing w:after="100"/>
      </w:pPr>
      <w:r>
        <w:t xml:space="preserve">"Take midway point... midway and midway until we hit our best ensemble" → Phase 2 (Binary Refinement), formalised in Algorithm 1 lines 12–20 and proven in Theorem 3.</w:t>
      </w:r>
    </w:p>
    <w:p>
      <w:pPr>
        <w:pStyle w:val="ListParagraph"/>
        <w:numPr>
          <w:ilvl w:val="0"/>
          <w:numId w:val="2"/>
        </w:numPr>
        <w:spacing w:after="100"/>
      </w:pPr>
      <w:r>
        <w:t xml:space="preserve">"Run it from the other direction... these two numbers should be equal... unless something weird is observed" → the bidirectional convergence validation in Section 7.6 (Table 5), which tests exactly the path-independence property the informal statement intuited.</w:t>
      </w:r>
    </w:p>
    <w:p>
      <w:pPr>
        <w:spacing w:after="140"/>
      </w:pPr>
      <w:r>
        <w:t xml:space="preserve">The formal paper is, in a real sense, a proof that the original informal intuition was correct. The theorems do not discover a new method; they verify that the method described in plain language has the properties it appeared to have.</w:t>
      </w:r>
    </w:p>
    <w:p>
      <w:pPr>
        <w:pStyle w:val="Heading2"/>
        <w:spacing w:after="140" w:before="260"/>
      </w:pPr>
      <w:r>
        <w:rPr>
          <w:b/>
          <w:bCs/>
          <w:sz w:val="26"/>
          <w:szCs w:val="26"/>
        </w:rPr>
        <w:t xml:space="preserve">1.2 What the Informal Version Did Not Yet Have</w:t>
      </w:r>
    </w:p>
    <w:p>
      <w:pPr>
        <w:spacing w:after="140"/>
      </w:pPr>
      <w:r>
        <w:t xml:space="preserve">Three things were missing from the original statement and had to be added during formalisation:</w:t>
      </w:r>
    </w:p>
    <w:p>
      <w:pPr>
        <w:pStyle w:val="ListParagraph"/>
        <w:numPr>
          <w:ilvl w:val="0"/>
          <w:numId w:val="2"/>
        </w:numPr>
        <w:spacing w:after="100"/>
      </w:pPr>
      <w:r>
        <w:t xml:space="preserve">The information-theoretic lower bound (Theorem 7). The informal version asserted that the method would be "more efficient" but did not claim it was optimal. The insight that Two-Phase Search matches the Ω(log N + log(L/ε)) lower bound — and that this is the strongest possible claim about any comparison-based method on monotonic curves — emerged only during the formal analysis. This is the single most important contribution of the paper that was not present in the informal version.</w:t>
      </w:r>
    </w:p>
    <w:p>
      <w:pPr>
        <w:pStyle w:val="ListParagraph"/>
        <w:numPr>
          <w:ilvl w:val="0"/>
          <w:numId w:val="2"/>
        </w:numPr>
        <w:spacing w:after="100"/>
      </w:pPr>
      <w:r>
        <w:t xml:space="preserve">The bounded noise model and the Hoeffding-based robustness argument (Theorem 6). The informal version acknowledged noise implicitly ("unless something weird is observed") but provided no analytical treatment of how to handle it. The windowed gradient criterion with exponentially decaying false-positive rate came from the formalisation.</w:t>
      </w:r>
    </w:p>
    <w:p>
      <w:pPr>
        <w:pStyle w:val="ListParagraph"/>
        <w:numPr>
          <w:ilvl w:val="0"/>
          <w:numId w:val="2"/>
        </w:numPr>
        <w:spacing w:after="100"/>
      </w:pPr>
      <w:r>
        <w:t xml:space="preserve">The edge computing motivation as the primary anchor. The informal version mentioned edge computing and high-frequency trading as implications, but the current paper makes edge deployment the central motivating case through Section 2.2 and Table 6. This reframing happened after reviewing the literature on FPGA-based RF acceleration (Pham-Quoc et al., 2024) and RISC-V microcontroller deployment (Daghero et al., 2022) — the peer-reviewed grounding that replaced the informal intuition.</w:t>
      </w:r>
    </w:p>
    <w:p>
      <w:pPr>
        <w:pStyle w:val="Heading1"/>
        <w:spacing w:after="180" w:before="360"/>
      </w:pPr>
      <w:r>
        <w:rPr>
          <w:b/>
          <w:bCs/>
          <w:sz w:val="30"/>
          <w:szCs w:val="30"/>
        </w:rPr>
        <w:t xml:space="preserve">2. Design Philosophy: Two Analogies That Shaped the Approach</w:t>
      </w:r>
    </w:p>
    <w:p>
      <w:pPr>
        <w:spacing w:after="140"/>
      </w:pPr>
      <w:r>
        <w:t xml:space="preserve">Two analogies from outside machine learning informed the design instinct behind Two-Phase Search. Neither appears in the paper — the paper is grounded in formal results and peer-reviewed deployment literature — but both accurately describe the underlying intuition about why the research question matters.</w:t>
      </w:r>
    </w:p>
    <w:p>
      <w:pPr>
        <w:pStyle w:val="Heading2"/>
        <w:spacing w:after="140" w:before="260"/>
      </w:pPr>
      <w:r>
        <w:rPr>
          <w:b/>
          <w:bCs/>
          <w:sz w:val="26"/>
          <w:szCs w:val="26"/>
        </w:rPr>
        <w:t xml:space="preserve">2.1 The Undervolting Principle</w:t>
      </w:r>
    </w:p>
    <w:p>
      <w:pPr>
        <w:spacing w:after="140"/>
      </w:pPr>
      <w:r>
        <w:t xml:space="preserve">Hardware engineers practice undervolting: reducing processor voltage below the manufacturer default while maintaining stable operation. Manufacturers ship chips with conservative voltage margins to guarantee stability across all production units and operating conditions, which means most individual chips can run stably at lower voltages than they are configured for. Undervolting identifies and eliminates this margin, typically reducing power consumption by 10–30% with no loss of computational output.</w:t>
      </w:r>
    </w:p>
    <w:p>
      <w:pPr>
        <w:spacing w:after="140"/>
      </w:pPr>
      <w:r>
        <w:t xml:space="preserve">The analogy to Random Forest tree counts is direct. The practitioner default of 500 trees is a conservative margin — it guarantees the ensemble has converged across a wide range of datasets and configurations, at the cost of using more trees than any individual dataset actually requires. The same computational output (prediction accuracy) can be achieved with substantially fewer trees, if the practitioner has a principled way to identify the minimum sufficient count. Two-Phase Search is the machine learning analogue of undervolting: it identifies the conservative margin and eliminates it, with a provable guarantee that the reduction does not cross the stability threshold.</w:t>
      </w:r>
    </w:p>
    <w:p>
      <w:pPr>
        <w:spacing w:after="140"/>
      </w:pPr>
      <w:r>
        <w:t xml:space="preserve">This analogy is the one most worth preserving for informal presentations or blog posts, because it is technically grounded (undervolting is a real and well-characterised engineering practice) and it maps cleanly onto the paper's actual argument. It would weaken the paper if cited directly — reviewers expect motivation grounded in ML literature, not hardware engineering metaphors — but it is the clearest statement of the underlying design philosophy.</w:t>
      </w:r>
    </w:p>
    <w:p>
      <w:pPr>
        <w:pStyle w:val="Heading2"/>
        <w:spacing w:after="140" w:before="260"/>
      </w:pPr>
      <w:r>
        <w:rPr>
          <w:b/>
          <w:bCs/>
          <w:sz w:val="26"/>
          <w:szCs w:val="26"/>
        </w:rPr>
        <w:t xml:space="preserve">2.2 The META Principle from Competitive Gaming</w:t>
      </w:r>
    </w:p>
    <w:p>
      <w:pPr>
        <w:spacing w:after="140"/>
      </w:pPr>
      <w:r>
        <w:t xml:space="preserve">In competitive gaming communities, "META" stands for Most Efficient Tactic Available. Crucially, efficient does not mean most powerful — it means the best performance-to-resource ratio given realistic constraints. A strategy requiring ten times the resources for one percent better outcomes is not META, regardless of its absolute performance. Player communities discover and refine these strategies iteratively, producing an emergent optimisation process.</w:t>
      </w:r>
    </w:p>
    <w:p>
      <w:pPr>
        <w:spacing w:after="140"/>
      </w:pPr>
      <w:r>
        <w:t xml:space="preserve">This maps onto the two-audience framing in Section 2.5 of the paper. Compute-constrained practitioners are not looking for the most powerful hyperparameter search method; they are looking for the best guarantee-per-evaluation ratio. The reason Two-Phase Search dominates random search and Bayesian optimisation for these practitioners is not that it is more powerful in any absolute sense — it is that it offers an optimality guarantee at the same or lower evaluation cost, which is a strictly better point on the efficiency frontier. The META framing captures this more cleanly than the paper's formal language, at the cost of being too informal for the paper itself.</w:t>
      </w:r>
    </w:p>
    <w:p>
      <w:pPr>
        <w:spacing w:after="140"/>
      </w:pPr>
      <w:r>
        <w:t xml:space="preserve">The META principle is also the conceptual ancestor of the Pareto-front framing that appeared in earlier drafts of the research plan. The current paper has moved past explicit Pareto framing in favour of the O(log N) complexity and ε-optimality arguments, but the underlying instinct — that the right model is the one with the best cost-benefit trade-off, not the one with the highest absolute accuracy — came from thinking about competitive gaming resource allocation.</w:t>
      </w:r>
    </w:p>
    <w:p>
      <w:pPr>
        <w:pStyle w:val="Heading1"/>
        <w:spacing w:after="180" w:before="360"/>
      </w:pPr>
      <w:r>
        <w:rPr>
          <w:b/>
          <w:bCs/>
          <w:sz w:val="30"/>
          <w:szCs w:val="30"/>
        </w:rPr>
        <w:t xml:space="preserve">3. Related But Separately Scoped Research Questions</w:t>
      </w:r>
    </w:p>
    <w:p>
      <w:pPr>
        <w:spacing w:after="140"/>
      </w:pPr>
      <w:r>
        <w:t xml:space="preserve">Two other research questions arose during the same conversations that produced Two-Phase Search. Both are genuinely interesting and both use some of the same instincts (efficiency over exhaustion, guided search over random sampling), but neither is part of the current paper. They are catalogued here because they may become follow-up work.</w:t>
      </w:r>
    </w:p>
    <w:p>
      <w:pPr>
        <w:pStyle w:val="Heading2"/>
        <w:spacing w:after="140" w:before="260"/>
      </w:pPr>
      <w:r>
        <w:rPr>
          <w:b/>
          <w:bCs/>
          <w:sz w:val="26"/>
          <w:szCs w:val="26"/>
        </w:rPr>
        <w:t xml:space="preserve">3.1 Stratified Feature Subset Sampling</w:t>
      </w:r>
    </w:p>
    <w:p>
      <w:pPr>
        <w:spacing w:after="140"/>
      </w:pPr>
      <w:r>
        <w:t xml:space="preserve">The standard Random Forest construction samples m features per tree uniformly at random, where m = √d or log d. An early question in the research conversations was whether this uniform sampling is wasteful: for d = 20 features, exhaustive enumeration would require 116,280 combinations, which is infeasible, but guided sampling (stratifying around top-information-gain features, combined with random selection of the remainder) could capture the benefits of feature diversity with far fewer trees.</w:t>
      </w:r>
    </w:p>
    <w:p>
      <w:pPr>
        <w:spacing w:after="140"/>
      </w:pPr>
      <w:r>
        <w:t xml:space="preserve">This is a question about how trees are constructed, not how many trees to build. It is orthogonal to Two-Phase Search, which takes the standard feature sampling as given and asks only about finding optimal k. The current paper explicitly flags extension to mtry (the feature sampling parameter) as future work in Section 8.3. The stratified sampling idea would be the concrete proposal for that extension — replacing the uniform random selection with a structured sampling strategy that guarantees top features appear in engineered combinations.</w:t>
      </w:r>
    </w:p>
    <w:p>
      <w:pPr>
        <w:spacing w:after="140"/>
      </w:pPr>
      <w:r>
        <w:t xml:space="preserve">This question is worth preserving because it predates Two-Phase Search in the research conversations and represents the same underlying instinct applied to a different axis of the problem: exhaustive enumeration is infeasible, so the right move is principled search, not random sampling.</w:t>
      </w:r>
    </w:p>
    <w:p>
      <w:pPr>
        <w:pStyle w:val="Heading2"/>
        <w:spacing w:after="140" w:before="260"/>
      </w:pPr>
      <w:r>
        <w:rPr>
          <w:b/>
          <w:bCs/>
          <w:sz w:val="26"/>
          <w:szCs w:val="26"/>
        </w:rPr>
        <w:t xml:space="preserve">3.2 The Stumpy Forest: Shallow Trees on Decorrelated Features</w:t>
      </w:r>
    </w:p>
    <w:p>
      <w:pPr>
        <w:spacing w:after="140"/>
      </w:pPr>
      <w:r>
        <w:t xml:space="preserve">A parallel research thread proposed a different Random Forest architecture: fix max_depth = 3 (stumpy trees), apply correlation-based feature decorrelation as a preprocessing step, and then ensemble these shallow trees to test whether the "wisdom of simpletons" can match a single hyper-tuned decision tree or a standard Random Forest. The research plan described three contestants — a single ideal decision tree, a standard Random Forest, and the proposed Stumpy Forest — evaluated on a Pareto frontier of accuracy versus training time.</w:t>
      </w:r>
    </w:p>
    <w:p>
      <w:pPr>
        <w:spacing w:after="140"/>
      </w:pPr>
      <w:r>
        <w:t xml:space="preserve">The Stumpy Forest is a different research question from Two-Phase Search. It is about what kind of ensemble to build; Two-Phase Search is about how to efficiently tune one hyperparameter of an already-specified ensemble. The two could compose naturally in a follow-up paper: use Two-Phase Search as the tool to tune k for the Stumpy Forest architecture, and use the edge computing motivation (shared between both projects) as the anchor. This is a plausible path toward a second paper that builds on the first without duplicating it.</w:t>
      </w:r>
    </w:p>
    <w:p>
      <w:pPr>
        <w:spacing w:after="140"/>
      </w:pPr>
      <w:r>
        <w:t xml:space="preserve">The Stumpy Forest research plan is preserved in separate notes and is not part of the current paper's scope.</w:t>
      </w:r>
    </w:p>
    <w:p>
      <w:pPr>
        <w:pStyle w:val="Heading1"/>
        <w:spacing w:after="180" w:before="360"/>
      </w:pPr>
      <w:r>
        <w:rPr>
          <w:b/>
          <w:bCs/>
          <w:sz w:val="30"/>
          <w:szCs w:val="30"/>
        </w:rPr>
        <w:t xml:space="preserve">4. What the Pre-Publication Review Corrected</w:t>
      </w:r>
    </w:p>
    <w:p>
      <w:pPr>
        <w:spacing w:after="140"/>
      </w:pPr>
      <w:r>
        <w:t xml:space="preserve">The paper went through a pre-publication review that identified several substantive issues in an earlier draft. These are documented in Appendix B of the paper as a revision checklist, but the intellectual content of the corrections is worth preserving here because each correction represents a case where the informal intuition was almost right but not quite, and the formalisation required a non-trivial repair.</w:t>
      </w:r>
    </w:p>
    <w:p>
      <w:pPr>
        <w:pStyle w:val="Heading2"/>
        <w:spacing w:after="140" w:before="260"/>
      </w:pPr>
      <w:r>
        <w:rPr>
          <w:b/>
          <w:bCs/>
          <w:sz w:val="26"/>
          <w:szCs w:val="26"/>
        </w:rPr>
        <w:t xml:space="preserve">4.1 The Noise Model: Gaussian → Bounded</w:t>
      </w:r>
    </w:p>
    <w:p>
      <w:pPr>
        <w:spacing w:after="140"/>
      </w:pPr>
      <w:r>
        <w:t xml:space="preserve">Earlier drafts modelled evaluation noise as Gaussian: η ~ N(0, σ²). This is the natural default assumption and appears throughout the machine learning literature, but it is technically incorrect for cross-validation accuracy. Accuracy is bounded in [0, 1], which means the noise distribution cannot have unbounded tails. The pre-publication review flagged this inconsistency, and the current paper replaces the Gaussian assumption with a bounded noise model |η| ≤ σ throughout (Assumption 4). The Hoeffding inequality used in Theorems 2 and 6 requires bounded random variables, so the correction was not cosmetic — it was required for the proofs to be valid. The earlier Gaussian framing would have produced theorems with incorrect constants and an unjustified appeal to concentration inequalities that technically did not apply.</w:t>
      </w:r>
    </w:p>
    <w:p>
      <w:pPr>
        <w:pStyle w:val="Heading2"/>
        <w:spacing w:after="140" w:before="260"/>
      </w:pPr>
      <w:r>
        <w:rPr>
          <w:b/>
          <w:bCs/>
          <w:sz w:val="26"/>
          <w:szCs w:val="26"/>
        </w:rPr>
        <w:t xml:space="preserve">4.2 The Theorem 7 Hand-Wave</w:t>
      </w:r>
    </w:p>
    <w:p>
      <w:pPr>
        <w:spacing w:after="140"/>
      </w:pPr>
      <w:r>
        <w:t xml:space="preserve">Earlier drafts of the lower bound argument asserted that each evaluation provides "at most one bit of useful information" without justifying why this was true for real-valued queries. The reviewer correctly flagged that a real-valued query could in principle provide more than one bit — the assertion needed a construction to back it up. The current paper provides an adversarial argument in Theorem 7 proof step 2: the adversary constructs a family of monotonic functions identical at all previously queried points, differing only in the location of k*. Under this construction, the real-valued response at any query point is the same across all members of the family, so it provides no information beyond the binary question of whether k* lies left or right of the query. This is the kind of repair that looks small but is actually load-bearing — without the adversarial construction, the entire asymptotic optimality claim of the paper is unsupported.</w:t>
      </w:r>
    </w:p>
    <w:p>
      <w:pPr>
        <w:pStyle w:val="Heading2"/>
        <w:spacing w:after="140" w:before="260"/>
      </w:pPr>
      <w:r>
        <w:rPr>
          <w:b/>
          <w:bCs/>
          <w:sz w:val="26"/>
          <w:szCs w:val="26"/>
        </w:rPr>
        <w:t xml:space="preserve">4.3 The "Golden Number" Terminology</w:t>
      </w:r>
    </w:p>
    <w:p>
      <w:pPr>
        <w:spacing w:after="140"/>
      </w:pPr>
      <w:r>
        <w:t xml:space="preserve">The informal version of the research referred to the optimal tree count as "the Golden Number" — an evocative phrase that came naturally from the conversational origin of the idea. The pre-publication review flagged this as undefined terminology that would confuse readers and suggest a mystical or heuristic character to what is actually a formal optimisation result. The current paper uses "Two-Phase Search" throughout and refers to the target as k*. The terminology correction is trivial in isolation but illustrates a broader lesson: informal language that works in conversation often carries implicit connotations that leak into how reviewers perceive the rigour of the work.</w:t>
      </w:r>
    </w:p>
    <w:p>
      <w:pPr>
        <w:pStyle w:val="Heading2"/>
        <w:spacing w:after="140" w:before="260"/>
      </w:pPr>
      <w:r>
        <w:rPr>
          <w:b/>
          <w:bCs/>
          <w:sz w:val="26"/>
          <w:szCs w:val="26"/>
        </w:rPr>
        <w:t xml:space="preserve">4.4 Discrete vs Continuous Domain Tension</w:t>
      </w:r>
    </w:p>
    <w:p>
      <w:pPr>
        <w:spacing w:after="140"/>
      </w:pPr>
      <w:r>
        <w:t xml:space="preserve">Earlier drafts mixed continuous-domain Lipschitz continuity (the standard definition) with discrete-domain binary search (the actual algorithm), creating an inconsistency in the proofs. The current paper resolves this by introducing Assumption 3 (Discrete Lipschitz Continuity), which defines the Lipschitz condition directly on integer-valued k, and then carrying the discrete formulation through Theorems 3, 4, and 5. This correction was conceptually simple but required rewriting several proofs. It is a reminder that hyperparameter search is intrinsically a discrete problem and that continuous-domain machinery needs to be translated carefully, not imported wholesale.</w:t>
      </w:r>
    </w:p>
    <w:p>
      <w:pPr>
        <w:pStyle w:val="Heading1"/>
        <w:spacing w:after="180" w:before="360"/>
      </w:pPr>
      <w:r>
        <w:rPr>
          <w:b/>
          <w:bCs/>
          <w:sz w:val="30"/>
          <w:szCs w:val="30"/>
        </w:rPr>
        <w:t xml:space="preserve">5. What This Lineage Shows</w:t>
      </w:r>
    </w:p>
    <w:p>
      <w:pPr>
        <w:spacing w:after="140"/>
      </w:pPr>
      <w:r>
        <w:t xml:space="preserve">Three observations from the research history are worth recording:</w:t>
      </w:r>
    </w:p>
    <w:p>
      <w:pPr>
        <w:spacing w:after="140"/>
      </w:pPr>
      <w:r>
        <w:rPr>
          <w:b/>
          <w:bCs/>
        </w:rPr>
        <w:t xml:space="preserve">The instinct generalised beyond the specific application. </w:t>
      </w:r>
      <w:r>
        <w:t xml:space="preserve">The underlying idea — that exhaustive enumeration is wasteful when the structure of the problem permits guided search — appeared independently across multiple axes of the Random Forest construction problem (feature subsets, tree counts, tree depth) before any of them had been formalised. Two-Phase Search is the first of these to become a paper, but it is not the only place the instinct applies. Future work on mtry and nodesize optimisation, on ensemble architecture choice, and on gradient boosting tree count are all accessible from the same starting point.</w:t>
      </w:r>
    </w:p>
    <w:p>
      <w:pPr>
        <w:spacing w:after="140"/>
      </w:pPr>
      <w:r>
        <w:rPr>
          <w:b/>
          <w:bCs/>
        </w:rPr>
        <w:t xml:space="preserve">Formalisation both verified and strengthened the original intuition. </w:t>
      </w:r>
      <w:r>
        <w:t xml:space="preserve">The informal statement in Section 1.1 above contained every element of the final algorithm, and the theorems mostly verified that the informal version had the properties it appeared to have. But the formalisation also added Theorem 7 (the information-theoretic lower bound), which is the strongest claim in the paper and was not present in any form in the informal version. This is worth noting because it suggests that research ideas which seem "already complete" in informal form often gain their most important claims only during the formal work.</w:t>
      </w:r>
    </w:p>
    <w:p>
      <w:pPr>
        <w:spacing w:after="140"/>
      </w:pPr>
      <w:r>
        <w:rPr>
          <w:b/>
          <w:bCs/>
        </w:rPr>
        <w:t xml:space="preserve">Pre-publication review corrections were substantive, not cosmetic. </w:t>
      </w:r>
      <w:r>
        <w:t xml:space="preserve">Each of the four corrections in Section 4 — the noise model, the Theorem 7 hand-wave, the terminology, and the discrete domain tension — was a case where the earlier draft would have been wrong in a way that mattered for the paper's central claims. The review process did not polish the paper; it repaired it. This is worth remembering as a general lesson about the value of adversarial feedback before submission, particularly for work that starts from informal intuitions and is then formalised.</w:t>
      </w:r>
    </w:p>
    <w:p>
      <w:pPr>
        <w:pStyle w:val="Heading1"/>
        <w:spacing w:after="180" w:before="360"/>
      </w:pPr>
      <w:r>
        <w:rPr>
          <w:b/>
          <w:bCs/>
          <w:sz w:val="30"/>
          <w:szCs w:val="30"/>
        </w:rPr>
        <w:t xml:space="preserve">6. Cross-References to the Paper</w:t>
      </w:r>
    </w:p>
    <w:p>
      <w:pPr>
        <w:spacing w:after="140"/>
      </w:pPr>
      <w:r>
        <w:t xml:space="preserve">For each element of the informal research history, the corresponding formal treatment in the paper is:</w:t>
      </w:r>
    </w:p>
    <w:p>
      <w:pPr>
        <w:pStyle w:val="ListParagraph"/>
        <w:numPr>
          <w:ilvl w:val="0"/>
          <w:numId w:val="2"/>
        </w:numPr>
        <w:spacing w:after="100"/>
      </w:pPr>
      <w:r>
        <w:t xml:space="preserve">Exponential doubling phase → Algorithm 1 (Section 5), Theorem 1 (Section 6)</w:t>
      </w:r>
    </w:p>
    <w:p>
      <w:pPr>
        <w:pStyle w:val="ListParagraph"/>
        <w:numPr>
          <w:ilvl w:val="0"/>
          <w:numId w:val="2"/>
        </w:numPr>
        <w:spacing w:after="100"/>
      </w:pPr>
      <w:r>
        <w:t xml:space="preserve">Plateau detection criterion → Assumption 2 (Section 4), Theorem 2 (Section 6)</w:t>
      </w:r>
    </w:p>
    <w:p>
      <w:pPr>
        <w:pStyle w:val="ListParagraph"/>
        <w:numPr>
          <w:ilvl w:val="0"/>
          <w:numId w:val="2"/>
        </w:numPr>
        <w:spacing w:after="100"/>
      </w:pPr>
      <w:r>
        <w:t xml:space="preserve">Binary refinement phase → Algorithm 1 (Section 5), Theorem 3 (Section 6)</w:t>
      </w:r>
    </w:p>
    <w:p>
      <w:pPr>
        <w:pStyle w:val="ListParagraph"/>
        <w:numPr>
          <w:ilvl w:val="0"/>
          <w:numId w:val="2"/>
        </w:numPr>
        <w:spacing w:after="100"/>
      </w:pPr>
      <w:r>
        <w:t xml:space="preserve">Bidirectional convergence test → Section 7.6, Table 5</w:t>
      </w:r>
    </w:p>
    <w:p>
      <w:pPr>
        <w:pStyle w:val="ListParagraph"/>
        <w:numPr>
          <w:ilvl w:val="0"/>
          <w:numId w:val="2"/>
        </w:numPr>
        <w:spacing w:after="100"/>
      </w:pPr>
      <w:r>
        <w:t xml:space="preserve">Edge computing motivation → Section 2.2, Table 6 (Section 7.7)</w:t>
      </w:r>
    </w:p>
    <w:p>
      <w:pPr>
        <w:pStyle w:val="ListParagraph"/>
        <w:numPr>
          <w:ilvl w:val="0"/>
          <w:numId w:val="2"/>
        </w:numPr>
        <w:spacing w:after="100"/>
      </w:pPr>
      <w:r>
        <w:t xml:space="preserve">Noise robustness argument → Assumption 4 (Section 4), Theorem 6 (Section 6)</w:t>
      </w:r>
    </w:p>
    <w:p>
      <w:pPr>
        <w:pStyle w:val="ListParagraph"/>
        <w:numPr>
          <w:ilvl w:val="0"/>
          <w:numId w:val="2"/>
        </w:numPr>
        <w:spacing w:after="100"/>
      </w:pPr>
      <w:r>
        <w:t xml:space="preserve">Information-theoretic optimality → Theorem 7 (Section 6)</w:t>
      </w:r>
    </w:p>
    <w:p>
      <w:pPr>
        <w:pStyle w:val="ListParagraph"/>
        <w:numPr>
          <w:ilvl w:val="0"/>
          <w:numId w:val="2"/>
        </w:numPr>
        <w:spacing w:after="100"/>
      </w:pPr>
      <w:r>
        <w:t xml:space="preserve">Two-audience framing → Section 2.5, Section 8.1</w:t>
      </w:r>
    </w:p>
    <w:p>
      <w:pPr>
        <w:pStyle w:val="ListParagraph"/>
        <w:numPr>
          <w:ilvl w:val="0"/>
          <w:numId w:val="2"/>
        </w:numPr>
        <w:spacing w:after="100"/>
      </w:pPr>
      <w:r>
        <w:t xml:space="preserve">Distributed coordination benefit → Section 2.3 (fifth bullet)</w:t>
      </w:r>
    </w:p>
    <w:p>
      <w:pPr>
        <w:pStyle w:val="ListParagraph"/>
        <w:numPr>
          <w:ilvl w:val="0"/>
          <w:numId w:val="2"/>
        </w:numPr>
        <w:spacing w:after="100"/>
      </w:pPr>
      <w:r>
        <w:t xml:space="preserve">Warm-start implementation note → Section 5.3 (implementation note)</w:t>
      </w:r>
    </w:p>
    <w:p>
      <w:pPr>
        <w:spacing w:after="140"/>
      </w:pPr>
      <w:r>
        <w:t xml:space="preserve"> </w:t>
      </w:r>
    </w:p>
    <w:p>
      <w:pPr>
        <w:spacing w:after="140"/>
      </w:pPr>
      <w:r>
        <w:rPr>
          <w:i/>
          <w:iCs/>
        </w:rPr>
        <w:t xml:space="preserve">End of research journal companion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0"/>
      <w:szCs w:val="30"/>
    </w:rPr>
  </w:style>
  <w:style w:type="paragraph" w:styleId="Heading2">
    <w:name w:val="Heading 2"/>
    <w:basedOn w:val="Normal"/>
    <w:next w:val="Normal"/>
    <w:qFormat/>
    <w:pPr>
      <w:spacing w:after="140" w:before="26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Search: Research Journal and Provenance Notes</dc:title>
  <dc:creator>Claude</dc:creator>
  <cp:lastModifiedBy>Un-named</cp:lastModifiedBy>
  <cp:revision>1</cp:revision>
  <dcterms:created xsi:type="dcterms:W3CDTF">2026-04-14T07:22:39.367Z</dcterms:created>
  <dcterms:modified xsi:type="dcterms:W3CDTF">2026-04-14T07:22:39.368Z</dcterms:modified>
</cp:coreProperties>
</file>

<file path=docProps/custom.xml><?xml version="1.0" encoding="utf-8"?>
<Properties xmlns="http://schemas.openxmlformats.org/officeDocument/2006/custom-properties" xmlns:vt="http://schemas.openxmlformats.org/officeDocument/2006/docPropsVTypes"/>
</file>