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"date stamp"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"institutional role"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"name"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"affiliation"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"contact information"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"sample"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"sample volume"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"sample concentration"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"sample source"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"sample molecular mass"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"tags"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"pH"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"buffer "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"sample pre treatment"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"injection volume"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"inline "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"offline"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"direct"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"full loop"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"partial loop"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"flush condition "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"sample storage temperature"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"column manufacturer"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"column model"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"column type"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"separation mechanism"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"affinity"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"anion exchange"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"cation exchange"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"reverse phase"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"hydrodynamic volume"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"column physical characteristic"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"column dimensions"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"total volume"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"length "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"inner diameter "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"stationary phase 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"particle size "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"packing materials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"monoliths"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"guards"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"traps"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"chromatography system"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"software"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"separation mode"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"dimension "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"mobile phase"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"constituent"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"column run"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"time"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"gradient"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"flow rate"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"temperature"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"process type"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"equilibration"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"calibration"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"washing"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"substance"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"reagent"                        "rate"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"process duration"               "detection"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"detector"                       "uv detector"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"ms detector"                    "data collection duration"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"equipment setting"              "control properties"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"wavelength "                    "time range"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"trace"                          "trace location"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"trace format"                   "fraction name"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"fraction size"                  "fraction collection procedure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"start time "                    "end time"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"fraction volume"                "fraction mode"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"fixed "                         "peak"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"collection time"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