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6k3sdgv114s6" w:id="0"/>
      <w:bookmarkEnd w:id="0"/>
      <w:r w:rsidDel="00000000" w:rsidR="00000000" w:rsidRPr="00000000">
        <w:rPr>
          <w:rtl w:val="0"/>
        </w:rPr>
        <w:t xml:space="preserve">Documentation of the ROC+ session:</w:t>
      </w:r>
    </w:p>
    <w:p w:rsidR="00000000" w:rsidDel="00000000" w:rsidP="00000000" w:rsidRDefault="00000000" w:rsidRPr="00000000">
      <w:pPr>
        <w:pStyle w:val="Heading2"/>
        <w:contextualSpacing w:val="0"/>
      </w:pPr>
      <w:bookmarkStart w:colFirst="0" w:colLast="0" w:name="h.4qh0r1yuihrv" w:id="1"/>
      <w:bookmarkEnd w:id="1"/>
      <w:r w:rsidDel="00000000" w:rsidR="00000000" w:rsidRPr="00000000">
        <w:rPr>
          <w:rtl w:val="0"/>
        </w:rPr>
        <w:t xml:space="preserve">What was the goal?</w:t>
      </w:r>
    </w:p>
    <w:p w:rsidR="00000000" w:rsidDel="00000000" w:rsidP="00000000" w:rsidRDefault="00000000" w:rsidRPr="00000000">
      <w:pPr>
        <w:contextualSpacing w:val="0"/>
      </w:pPr>
      <w:r w:rsidDel="00000000" w:rsidR="00000000" w:rsidRPr="00000000">
        <w:rPr>
          <w:rtl w:val="0"/>
        </w:rPr>
        <w:t xml:space="preserve">Our aim was to complete the vocabulary through collecting terms, synonyms, and taxonomical hierarchy from domain experts.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Synonyms,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Class hierarchy,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Relations, </w:t>
      </w:r>
    </w:p>
    <w:p w:rsidR="00000000" w:rsidDel="00000000" w:rsidP="00000000" w:rsidRDefault="00000000" w:rsidRPr="00000000">
      <w:pPr>
        <w:pStyle w:val="Heading2"/>
        <w:contextualSpacing w:val="0"/>
      </w:pPr>
      <w:bookmarkStart w:colFirst="0" w:colLast="0" w:name="h.aibui4mg6ccj" w:id="2"/>
      <w:bookmarkEnd w:id="2"/>
      <w:r w:rsidDel="00000000" w:rsidR="00000000" w:rsidRPr="00000000">
        <w:rPr>
          <w:rtl w:val="0"/>
        </w:rPr>
        <w:t xml:space="preserve">What did we achieved?</w:t>
      </w:r>
    </w:p>
    <w:p w:rsidR="00000000" w:rsidDel="00000000" w:rsidP="00000000" w:rsidRDefault="00000000" w:rsidRPr="00000000">
      <w:pPr>
        <w:numPr>
          <w:ilvl w:val="0"/>
          <w:numId w:val="2"/>
        </w:numPr>
        <w:ind w:left="720" w:hanging="360"/>
        <w:contextualSpacing w:val="1"/>
        <w:rPr/>
      </w:pPr>
      <w:r w:rsidDel="00000000" w:rsidR="00000000" w:rsidRPr="00000000">
        <w:rPr>
          <w:rtl w:val="0"/>
        </w:rPr>
      </w:r>
    </w:p>
    <w:tbl>
      <w:tblPr>
        <w:tblStyle w:val="Table1"/>
        <w:bidi w:val="0"/>
        <w:tblW w:w="9360.0" w:type="dxa"/>
        <w:jc w:val="left"/>
        <w:tblLayout w:type="fixed"/>
        <w:tblLook w:val="0600"/>
      </w:tblPr>
      <w:tblGrid>
        <w:gridCol w:w="2253.3333333333335"/>
        <w:gridCol w:w="7106.666666666666"/>
        <w:tblGridChange w:id="0">
          <w:tblGrid>
            <w:gridCol w:w="2253.3333333333335"/>
            <w:gridCol w:w="7106.666666666666"/>
          </w:tblGrid>
        </w:tblGridChange>
      </w:tblGrid>
      <w:tr>
        <w:tc>
          <w:tcPr>
            <w:tcMar>
              <w:top w:w="120.0" w:type="dxa"/>
              <w:left w:w="60.0" w:type="dxa"/>
              <w:bottom w:w="120.0" w:type="dxa"/>
              <w:right w:w="60.0" w:type="dxa"/>
            </w:tcMar>
          </w:tcPr>
          <w:p w:rsidR="00000000" w:rsidDel="00000000" w:rsidP="00000000" w:rsidRDefault="00000000" w:rsidRPr="00000000">
            <w:pPr>
              <w:spacing w:before="160" w:lineRule="auto"/>
              <w:ind w:left="720" w:hanging="360"/>
              <w:contextualSpacing w:val="0"/>
            </w:pPr>
            <w:r w:rsidDel="00000000" w:rsidR="00000000" w:rsidRPr="00000000">
              <w:rPr>
                <w:b w:val="1"/>
                <w:sz w:val="18"/>
                <w:szCs w:val="18"/>
                <w:shd w:fill="edf8fd" w:val="clear"/>
                <w:rtl w:val="0"/>
              </w:rPr>
              <w:t xml:space="preserve">Name</w:t>
            </w:r>
            <w:r w:rsidDel="00000000" w:rsidR="00000000" w:rsidRPr="00000000">
              <w:rPr>
                <w:rtl w:val="0"/>
              </w:rPr>
            </w:r>
          </w:p>
        </w:tc>
        <w:tc>
          <w:tcPr>
            <w:tcMar>
              <w:left w:w="0.0" w:type="dxa"/>
              <w:right w:w="0.0" w:type="dxa"/>
            </w:tcMar>
          </w:tcPr>
          <w:p w:rsidR="00000000" w:rsidDel="00000000" w:rsidP="00000000" w:rsidRDefault="00000000" w:rsidRPr="00000000">
            <w:pPr>
              <w:spacing w:before="160" w:lineRule="auto"/>
              <w:ind w:left="720" w:hanging="360"/>
              <w:contextualSpacing w:val="0"/>
            </w:pPr>
            <w:r w:rsidDel="00000000" w:rsidR="00000000" w:rsidRPr="00000000">
              <w:rPr>
                <w:sz w:val="18"/>
                <w:szCs w:val="18"/>
                <w:shd w:fill="edf8fd" w:val="clear"/>
                <w:rtl w:val="0"/>
              </w:rPr>
              <w:t xml:space="preserve">miapevocabulary</w:t>
            </w:r>
          </w:p>
        </w:tc>
      </w:tr>
      <w:tr>
        <w:tc>
          <w:tcPr>
            <w:tcMar>
              <w:top w:w="120.0" w:type="dxa"/>
              <w:left w:w="60.0" w:type="dxa"/>
              <w:bottom w:w="120.0" w:type="dxa"/>
              <w:right w:w="60.0" w:type="dxa"/>
            </w:tcMar>
          </w:tcPr>
          <w:p w:rsidR="00000000" w:rsidDel="00000000" w:rsidP="00000000" w:rsidRDefault="00000000" w:rsidRPr="00000000">
            <w:pPr>
              <w:spacing w:before="160" w:lineRule="auto"/>
              <w:ind w:left="720" w:hanging="360"/>
              <w:contextualSpacing w:val="0"/>
            </w:pPr>
            <w:r w:rsidDel="00000000" w:rsidR="00000000" w:rsidRPr="00000000">
              <w:rPr>
                <w:b w:val="1"/>
                <w:sz w:val="18"/>
                <w:szCs w:val="18"/>
                <w:shd w:fill="edf8fd" w:val="clear"/>
                <w:rtl w:val="0"/>
              </w:rPr>
              <w:t xml:space="preserve">Short Name</w:t>
            </w:r>
            <w:r w:rsidDel="00000000" w:rsidR="00000000" w:rsidRPr="00000000">
              <w:rPr>
                <w:rtl w:val="0"/>
              </w:rPr>
            </w:r>
          </w:p>
        </w:tc>
        <w:tc>
          <w:tcPr>
            <w:tcMar>
              <w:left w:w="0.0" w:type="dxa"/>
              <w:right w:w="0.0" w:type="dxa"/>
            </w:tcMar>
          </w:tcPr>
          <w:p w:rsidR="00000000" w:rsidDel="00000000" w:rsidP="00000000" w:rsidRDefault="00000000" w:rsidRPr="00000000">
            <w:pPr>
              <w:spacing w:before="160" w:lineRule="auto"/>
              <w:ind w:left="720" w:hanging="360"/>
              <w:contextualSpacing w:val="0"/>
            </w:pPr>
            <w:r w:rsidDel="00000000" w:rsidR="00000000" w:rsidRPr="00000000">
              <w:rPr>
                <w:sz w:val="18"/>
                <w:szCs w:val="18"/>
                <w:shd w:fill="edf8fd" w:val="clear"/>
                <w:rtl w:val="0"/>
              </w:rPr>
              <w:t xml:space="preserve">miape</w:t>
            </w:r>
          </w:p>
        </w:tc>
      </w:tr>
      <w:tr>
        <w:tc>
          <w:tcPr>
            <w:tcMar>
              <w:top w:w="120.0" w:type="dxa"/>
              <w:left w:w="60.0" w:type="dxa"/>
              <w:bottom w:w="120.0" w:type="dxa"/>
              <w:right w:w="60.0" w:type="dxa"/>
            </w:tcMar>
          </w:tcPr>
          <w:p w:rsidR="00000000" w:rsidDel="00000000" w:rsidP="00000000" w:rsidRDefault="00000000" w:rsidRPr="00000000">
            <w:pPr>
              <w:spacing w:before="160" w:lineRule="auto"/>
              <w:ind w:left="720" w:hanging="360"/>
              <w:contextualSpacing w:val="0"/>
            </w:pPr>
            <w:r w:rsidDel="00000000" w:rsidR="00000000" w:rsidRPr="00000000">
              <w:rPr>
                <w:b w:val="1"/>
                <w:sz w:val="18"/>
                <w:szCs w:val="18"/>
                <w:shd w:fill="edf8fd" w:val="clear"/>
                <w:rtl w:val="0"/>
              </w:rPr>
              <w:t xml:space="preserve">Description</w:t>
            </w:r>
            <w:r w:rsidDel="00000000" w:rsidR="00000000" w:rsidRPr="00000000">
              <w:rPr>
                <w:rtl w:val="0"/>
              </w:rPr>
            </w:r>
          </w:p>
        </w:tc>
        <w:tc>
          <w:tcPr>
            <w:tcMar>
              <w:left w:w="0.0" w:type="dxa"/>
              <w:right w:w="0.0" w:type="dxa"/>
            </w:tcMar>
          </w:tcPr>
          <w:p w:rsidR="00000000" w:rsidDel="00000000" w:rsidP="00000000" w:rsidRDefault="00000000" w:rsidRPr="00000000">
            <w:pPr>
              <w:spacing w:before="160" w:lineRule="auto"/>
              <w:ind w:left="720" w:hanging="360"/>
              <w:contextualSpacing w:val="0"/>
            </w:pPr>
            <w:r w:rsidDel="00000000" w:rsidR="00000000" w:rsidRPr="00000000">
              <w:rPr>
                <w:sz w:val="18"/>
                <w:szCs w:val="18"/>
                <w:shd w:fill="edf8fd" w:val="clear"/>
                <w:rtl w:val="0"/>
              </w:rPr>
              <w:t xml:space="preserve">minimum information about proteomic experiment</w:t>
            </w:r>
          </w:p>
        </w:tc>
      </w:tr>
      <w:tr>
        <w:tc>
          <w:tcPr>
            <w:tcMar>
              <w:top w:w="120.0" w:type="dxa"/>
              <w:left w:w="60.0" w:type="dxa"/>
              <w:bottom w:w="120.0" w:type="dxa"/>
              <w:right w:w="60.0" w:type="dxa"/>
            </w:tcMar>
          </w:tcPr>
          <w:p w:rsidR="00000000" w:rsidDel="00000000" w:rsidP="00000000" w:rsidRDefault="00000000" w:rsidRPr="00000000">
            <w:pPr>
              <w:spacing w:before="160" w:lineRule="auto"/>
              <w:ind w:left="720" w:hanging="360"/>
              <w:contextualSpacing w:val="0"/>
            </w:pPr>
            <w:r w:rsidDel="00000000" w:rsidR="00000000" w:rsidRPr="00000000">
              <w:rPr>
                <w:b w:val="1"/>
                <w:sz w:val="18"/>
                <w:szCs w:val="18"/>
                <w:shd w:fill="edf8fd" w:val="clear"/>
                <w:rtl w:val="0"/>
              </w:rPr>
              <w:t xml:space="preserve">Default Language</w:t>
            </w:r>
            <w:r w:rsidDel="00000000" w:rsidR="00000000" w:rsidRPr="00000000">
              <w:rPr>
                <w:rtl w:val="0"/>
              </w:rPr>
            </w:r>
          </w:p>
        </w:tc>
        <w:tc>
          <w:tcPr>
            <w:tcMar>
              <w:left w:w="0.0" w:type="dxa"/>
              <w:right w:w="0.0" w:type="dxa"/>
            </w:tcMar>
          </w:tcPr>
          <w:p w:rsidR="00000000" w:rsidDel="00000000" w:rsidP="00000000" w:rsidRDefault="00000000" w:rsidRPr="00000000">
            <w:pPr>
              <w:spacing w:before="160" w:lineRule="auto"/>
              <w:ind w:left="720" w:hanging="360"/>
              <w:contextualSpacing w:val="0"/>
            </w:pPr>
            <w:r w:rsidDel="00000000" w:rsidR="00000000" w:rsidRPr="00000000">
              <w:rPr>
                <w:sz w:val="18"/>
                <w:szCs w:val="18"/>
                <w:shd w:fill="edf8fd" w:val="clear"/>
                <w:rtl w:val="0"/>
              </w:rPr>
              <w:t xml:space="preserve">en</w:t>
            </w:r>
          </w:p>
        </w:tc>
      </w:tr>
      <w:tr>
        <w:tc>
          <w:tcPr>
            <w:tcMar>
              <w:top w:w="120.0" w:type="dxa"/>
              <w:left w:w="60.0" w:type="dxa"/>
              <w:bottom w:w="120.0" w:type="dxa"/>
              <w:right w:w="60.0" w:type="dxa"/>
            </w:tcMar>
          </w:tcPr>
          <w:p w:rsidR="00000000" w:rsidDel="00000000" w:rsidP="00000000" w:rsidRDefault="00000000" w:rsidRPr="00000000">
            <w:pPr>
              <w:spacing w:before="160" w:lineRule="auto"/>
              <w:ind w:left="720" w:hanging="360"/>
              <w:contextualSpacing w:val="0"/>
            </w:pPr>
            <w:r w:rsidDel="00000000" w:rsidR="00000000" w:rsidRPr="00000000">
              <w:rPr>
                <w:b w:val="1"/>
                <w:sz w:val="18"/>
                <w:szCs w:val="18"/>
                <w:shd w:fill="edf8fd" w:val="clear"/>
                <w:rtl w:val="0"/>
              </w:rPr>
              <w:t xml:space="preserve">Languages</w:t>
            </w:r>
            <w:r w:rsidDel="00000000" w:rsidR="00000000" w:rsidRPr="00000000">
              <w:rPr>
                <w:rtl w:val="0"/>
              </w:rPr>
            </w:r>
          </w:p>
        </w:tc>
        <w:tc>
          <w:tcPr>
            <w:tcMar>
              <w:left w:w="0.0" w:type="dxa"/>
              <w:right w:w="0.0" w:type="dxa"/>
            </w:tcMar>
          </w:tcPr>
          <w:p w:rsidR="00000000" w:rsidDel="00000000" w:rsidP="00000000" w:rsidRDefault="00000000" w:rsidRPr="00000000">
            <w:pPr>
              <w:spacing w:before="160" w:lineRule="auto"/>
              <w:ind w:left="720" w:hanging="360"/>
              <w:contextualSpacing w:val="0"/>
            </w:pPr>
            <w:r w:rsidDel="00000000" w:rsidR="00000000" w:rsidRPr="00000000">
              <w:rPr>
                <w:sz w:val="18"/>
                <w:szCs w:val="18"/>
                <w:shd w:fill="edf8fd" w:val="clear"/>
                <w:rtl w:val="0"/>
              </w:rPr>
              <w:t xml:space="preserve">English</w:t>
            </w:r>
          </w:p>
        </w:tc>
      </w:tr>
      <w:tr>
        <w:tc>
          <w:tcPr>
            <w:tcMar>
              <w:top w:w="120.0" w:type="dxa"/>
              <w:left w:w="60.0" w:type="dxa"/>
              <w:bottom w:w="120.0" w:type="dxa"/>
              <w:right w:w="60.0" w:type="dxa"/>
            </w:tcMar>
          </w:tcPr>
          <w:p w:rsidR="00000000" w:rsidDel="00000000" w:rsidP="00000000" w:rsidRDefault="00000000" w:rsidRPr="00000000">
            <w:pPr>
              <w:spacing w:before="160" w:lineRule="auto"/>
              <w:ind w:left="720" w:hanging="360"/>
              <w:contextualSpacing w:val="0"/>
            </w:pPr>
            <w:r w:rsidDel="00000000" w:rsidR="00000000" w:rsidRPr="00000000">
              <w:rPr>
                <w:b w:val="1"/>
                <w:sz w:val="18"/>
                <w:szCs w:val="18"/>
                <w:shd w:fill="edf8fd" w:val="clear"/>
                <w:rtl w:val="0"/>
              </w:rPr>
              <w:t xml:space="preserve">Nr. of Concepts</w:t>
            </w:r>
            <w:r w:rsidDel="00000000" w:rsidR="00000000" w:rsidRPr="00000000">
              <w:rPr>
                <w:rtl w:val="0"/>
              </w:rPr>
            </w:r>
          </w:p>
        </w:tc>
        <w:tc>
          <w:tcPr>
            <w:tcMar>
              <w:left w:w="0.0" w:type="dxa"/>
              <w:right w:w="0.0" w:type="dxa"/>
            </w:tcMar>
          </w:tcPr>
          <w:p w:rsidR="00000000" w:rsidDel="00000000" w:rsidP="00000000" w:rsidRDefault="00000000" w:rsidRPr="00000000">
            <w:pPr>
              <w:spacing w:before="160" w:lineRule="auto"/>
              <w:ind w:left="720" w:hanging="360"/>
              <w:contextualSpacing w:val="0"/>
            </w:pPr>
            <w:r w:rsidDel="00000000" w:rsidR="00000000" w:rsidRPr="00000000">
              <w:rPr>
                <w:sz w:val="18"/>
                <w:szCs w:val="18"/>
                <w:shd w:fill="edf8fd" w:val="clear"/>
                <w:rtl w:val="0"/>
              </w:rPr>
              <w:t xml:space="preserve">237</w:t>
            </w:r>
          </w:p>
        </w:tc>
      </w:tr>
      <w:tr>
        <w:tc>
          <w:tcPr>
            <w:tcMar>
              <w:top w:w="120.0" w:type="dxa"/>
              <w:left w:w="60.0" w:type="dxa"/>
              <w:bottom w:w="120.0" w:type="dxa"/>
              <w:right w:w="60.0" w:type="dxa"/>
            </w:tcMar>
          </w:tcPr>
          <w:p w:rsidR="00000000" w:rsidDel="00000000" w:rsidP="00000000" w:rsidRDefault="00000000" w:rsidRPr="00000000">
            <w:pPr>
              <w:spacing w:before="160" w:lineRule="auto"/>
              <w:ind w:left="720" w:hanging="360"/>
              <w:contextualSpacing w:val="0"/>
            </w:pPr>
            <w:r w:rsidDel="00000000" w:rsidR="00000000" w:rsidRPr="00000000">
              <w:rPr>
                <w:b w:val="1"/>
                <w:sz w:val="18"/>
                <w:szCs w:val="18"/>
                <w:shd w:fill="edf8fd" w:val="clear"/>
                <w:rtl w:val="0"/>
              </w:rPr>
              <w:t xml:space="preserve">Nr. of Narrower Relations</w:t>
            </w:r>
            <w:r w:rsidDel="00000000" w:rsidR="00000000" w:rsidRPr="00000000">
              <w:rPr>
                <w:rtl w:val="0"/>
              </w:rPr>
            </w:r>
          </w:p>
        </w:tc>
        <w:tc>
          <w:tcPr>
            <w:tcMar>
              <w:left w:w="0.0" w:type="dxa"/>
              <w:right w:w="0.0" w:type="dxa"/>
            </w:tcMar>
          </w:tcPr>
          <w:p w:rsidR="00000000" w:rsidDel="00000000" w:rsidP="00000000" w:rsidRDefault="00000000" w:rsidRPr="00000000">
            <w:pPr>
              <w:spacing w:before="160" w:lineRule="auto"/>
              <w:ind w:left="720" w:hanging="360"/>
              <w:contextualSpacing w:val="0"/>
            </w:pPr>
            <w:r w:rsidDel="00000000" w:rsidR="00000000" w:rsidRPr="00000000">
              <w:rPr>
                <w:sz w:val="18"/>
                <w:szCs w:val="18"/>
                <w:shd w:fill="edf8fd" w:val="clear"/>
                <w:rtl w:val="0"/>
              </w:rPr>
              <w:t xml:space="preserve">10</w:t>
            </w:r>
          </w:p>
        </w:tc>
      </w:tr>
      <w:tr>
        <w:tc>
          <w:tcPr>
            <w:tcMar>
              <w:top w:w="120.0" w:type="dxa"/>
              <w:left w:w="60.0" w:type="dxa"/>
              <w:bottom w:w="120.0" w:type="dxa"/>
              <w:right w:w="60.0" w:type="dxa"/>
            </w:tcMar>
          </w:tcPr>
          <w:p w:rsidR="00000000" w:rsidDel="00000000" w:rsidP="00000000" w:rsidRDefault="00000000" w:rsidRPr="00000000">
            <w:pPr>
              <w:spacing w:before="160" w:lineRule="auto"/>
              <w:ind w:left="720" w:hanging="360"/>
              <w:contextualSpacing w:val="0"/>
            </w:pPr>
            <w:r w:rsidDel="00000000" w:rsidR="00000000" w:rsidRPr="00000000">
              <w:rPr>
                <w:b w:val="1"/>
                <w:sz w:val="18"/>
                <w:szCs w:val="18"/>
                <w:shd w:fill="edf8fd" w:val="clear"/>
                <w:rtl w:val="0"/>
              </w:rPr>
              <w:t xml:space="preserve">Nr. of RelatedTo Relations</w:t>
            </w:r>
            <w:r w:rsidDel="00000000" w:rsidR="00000000" w:rsidRPr="00000000">
              <w:rPr>
                <w:rtl w:val="0"/>
              </w:rPr>
            </w:r>
          </w:p>
        </w:tc>
        <w:tc>
          <w:tcPr>
            <w:tcMar>
              <w:left w:w="0.0" w:type="dxa"/>
              <w:right w:w="0.0" w:type="dxa"/>
            </w:tcMar>
          </w:tcPr>
          <w:p w:rsidR="00000000" w:rsidDel="00000000" w:rsidP="00000000" w:rsidRDefault="00000000" w:rsidRPr="00000000">
            <w:pPr>
              <w:spacing w:before="160" w:lineRule="auto"/>
              <w:ind w:left="720" w:hanging="360"/>
              <w:contextualSpacing w:val="0"/>
            </w:pPr>
            <w:r w:rsidDel="00000000" w:rsidR="00000000" w:rsidRPr="00000000">
              <w:rPr>
                <w:sz w:val="18"/>
                <w:szCs w:val="18"/>
                <w:shd w:fill="edf8fd" w:val="clear"/>
                <w:rtl w:val="0"/>
              </w:rPr>
              <w:t xml:space="preserve">208</w:t>
            </w:r>
          </w:p>
        </w:tc>
      </w:tr>
      <w:tr>
        <w:tc>
          <w:tcPr>
            <w:tcMar>
              <w:top w:w="120.0" w:type="dxa"/>
              <w:left w:w="60.0" w:type="dxa"/>
              <w:bottom w:w="120.0" w:type="dxa"/>
              <w:right w:w="60.0" w:type="dxa"/>
            </w:tcMar>
          </w:tcPr>
          <w:p w:rsidR="00000000" w:rsidDel="00000000" w:rsidP="00000000" w:rsidRDefault="00000000" w:rsidRPr="00000000">
            <w:pPr>
              <w:spacing w:before="160" w:lineRule="auto"/>
              <w:ind w:left="720" w:hanging="360"/>
              <w:contextualSpacing w:val="0"/>
            </w:pPr>
            <w:r w:rsidDel="00000000" w:rsidR="00000000" w:rsidRPr="00000000">
              <w:rPr>
                <w:b w:val="1"/>
                <w:sz w:val="18"/>
                <w:szCs w:val="18"/>
                <w:shd w:fill="edf8fd" w:val="clear"/>
                <w:rtl w:val="0"/>
              </w:rPr>
              <w:t xml:space="preserve">Nr. of Synonyms</w:t>
            </w:r>
            <w:r w:rsidDel="00000000" w:rsidR="00000000" w:rsidRPr="00000000">
              <w:rPr>
                <w:rtl w:val="0"/>
              </w:rPr>
            </w:r>
          </w:p>
        </w:tc>
        <w:tc>
          <w:tcPr>
            <w:tcMar>
              <w:left w:w="0.0" w:type="dxa"/>
              <w:right w:w="0.0" w:type="dxa"/>
            </w:tcMar>
          </w:tcPr>
          <w:p w:rsidR="00000000" w:rsidDel="00000000" w:rsidP="00000000" w:rsidRDefault="00000000" w:rsidRPr="00000000">
            <w:pPr>
              <w:spacing w:before="160" w:lineRule="auto"/>
              <w:ind w:left="720" w:hanging="360"/>
              <w:contextualSpacing w:val="0"/>
            </w:pPr>
            <w:r w:rsidDel="00000000" w:rsidR="00000000" w:rsidRPr="00000000">
              <w:rPr>
                <w:sz w:val="18"/>
                <w:szCs w:val="18"/>
                <w:shd w:fill="edf8fd" w:val="clear"/>
                <w:rtl w:val="0"/>
              </w:rPr>
              <w:t xml:space="preserve">105</w:t>
            </w:r>
          </w:p>
        </w:tc>
      </w:tr>
    </w:tbl>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pStyle w:val="Heading2"/>
        <w:contextualSpacing w:val="0"/>
      </w:pPr>
      <w:bookmarkStart w:colFirst="0" w:colLast="0" w:name="h.jv6jjf505dcv" w:id="3"/>
      <w:bookmarkEnd w:id="3"/>
      <w:r w:rsidDel="00000000" w:rsidR="00000000" w:rsidRPr="00000000">
        <w:rPr>
          <w:rtl w:val="0"/>
        </w:rPr>
        <w:t xml:space="preserve">The context of the workshop:</w:t>
      </w:r>
    </w:p>
    <w:p w:rsidR="00000000" w:rsidDel="00000000" w:rsidP="00000000" w:rsidRDefault="00000000" w:rsidRPr="00000000">
      <w:pPr>
        <w:contextualSpacing w:val="0"/>
      </w:pPr>
      <w:r w:rsidDel="00000000" w:rsidR="00000000" w:rsidRPr="00000000">
        <w:rPr>
          <w:rtl w:val="0"/>
        </w:rPr>
        <w:t xml:space="preserve">Number of participants: 10 people from laboratory of chemistry department -- Wageningen 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 noted down a couple of things that people mentioned about how they write up their research, and comments about my proposed method and ultimate software.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sz w:val="20"/>
          <w:szCs w:val="20"/>
          <w:rtl w:val="0"/>
        </w:rPr>
        <w:t xml:space="preserve">Descriptions often refer to another article in which the method is described, particularly for frequently reused methods. </w:t>
      </w:r>
    </w:p>
    <w:p w:rsidR="00000000" w:rsidDel="00000000" w:rsidP="00000000" w:rsidRDefault="00000000" w:rsidRPr="00000000">
      <w:pPr>
        <w:numPr>
          <w:ilvl w:val="1"/>
          <w:numId w:val="3"/>
        </w:numPr>
        <w:ind w:left="1440" w:hanging="360"/>
        <w:contextualSpacing w:val="1"/>
        <w:rPr>
          <w:sz w:val="20"/>
          <w:szCs w:val="20"/>
        </w:rPr>
      </w:pPr>
      <w:r w:rsidDel="00000000" w:rsidR="00000000" w:rsidRPr="00000000">
        <w:rPr>
          <w:sz w:val="20"/>
          <w:szCs w:val="20"/>
          <w:rtl w:val="0"/>
        </w:rPr>
        <w:t xml:space="preserve">This indicates that authors mostly give a reference to a protocol or a method used and do not repeat it in the method sections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Some information may only be mentioned in the title.  For example, the full name of the column may be mentioned in the title, and from then on they will only use the word ‘column’, as it should be clear what sort of column.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Terms may also be mentioned in full as first, but later only as acronyms or abbreviations.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One possible relation between terms, is terms that can be confused with each other – e.g. ‘suspension’ and ‘solution’ . This is a frequent error in papers.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Some method information appears in the Materials section, some in the analysis sections.  Chromatography is only one of many possible analysis methods, so only part of the paper is specifically about chromatography.  The preparation of the samples for the chromatography can appear in the Materials section. [</w:t>
      </w:r>
      <w:r w:rsidDel="00000000" w:rsidR="00000000" w:rsidRPr="00000000">
        <w:rPr>
          <w:b w:val="1"/>
          <w:sz w:val="20"/>
          <w:szCs w:val="20"/>
          <w:rtl w:val="0"/>
        </w:rPr>
        <w:t xml:space="preserve">This is very important.]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sz w:val="20"/>
          <w:szCs w:val="20"/>
        </w:rPr>
      </w:pPr>
      <w:r w:rsidDel="00000000" w:rsidR="00000000" w:rsidRPr="00000000">
        <w:rPr>
          <w:sz w:val="20"/>
          <w:szCs w:val="20"/>
          <w:rtl w:val="0"/>
        </w:rPr>
        <w:t xml:space="preserve">Description about chromatography experiment can be actually limited to only three main sentences in the “experimental” part of the method sections. </w:t>
      </w:r>
    </w:p>
    <w:p w:rsidR="00000000" w:rsidDel="00000000" w:rsidP="00000000" w:rsidRDefault="00000000" w:rsidRPr="00000000">
      <w:pPr>
        <w:numPr>
          <w:ilvl w:val="1"/>
          <w:numId w:val="3"/>
        </w:numPr>
        <w:ind w:left="1440" w:hanging="360"/>
        <w:contextualSpacing w:val="1"/>
        <w:rPr>
          <w:sz w:val="20"/>
          <w:szCs w:val="20"/>
        </w:rPr>
      </w:pPr>
      <w:r w:rsidDel="00000000" w:rsidR="00000000" w:rsidRPr="00000000">
        <w:rPr>
          <w:sz w:val="20"/>
          <w:szCs w:val="20"/>
          <w:rtl w:val="0"/>
        </w:rPr>
        <w:t xml:space="preserve">Name of the sample, </w:t>
      </w:r>
    </w:p>
    <w:p w:rsidR="00000000" w:rsidDel="00000000" w:rsidP="00000000" w:rsidRDefault="00000000" w:rsidRPr="00000000">
      <w:pPr>
        <w:numPr>
          <w:ilvl w:val="1"/>
          <w:numId w:val="3"/>
        </w:numPr>
        <w:ind w:left="1440" w:hanging="360"/>
        <w:contextualSpacing w:val="1"/>
        <w:rPr>
          <w:sz w:val="20"/>
          <w:szCs w:val="20"/>
        </w:rPr>
      </w:pPr>
      <w:r w:rsidDel="00000000" w:rsidR="00000000" w:rsidRPr="00000000">
        <w:rPr>
          <w:sz w:val="20"/>
          <w:szCs w:val="20"/>
          <w:rtl w:val="0"/>
        </w:rPr>
        <w:t xml:space="preserve">Column characteristics  </w:t>
      </w:r>
    </w:p>
    <w:p w:rsidR="00000000" w:rsidDel="00000000" w:rsidP="00000000" w:rsidRDefault="00000000" w:rsidRPr="00000000">
      <w:pPr>
        <w:numPr>
          <w:ilvl w:val="1"/>
          <w:numId w:val="3"/>
        </w:numPr>
        <w:ind w:left="1440" w:hanging="360"/>
        <w:contextualSpacing w:val="1"/>
        <w:rPr>
          <w:sz w:val="20"/>
          <w:szCs w:val="20"/>
        </w:rPr>
      </w:pPr>
      <w:r w:rsidDel="00000000" w:rsidR="00000000" w:rsidRPr="00000000">
        <w:rPr>
          <w:sz w:val="20"/>
          <w:szCs w:val="20"/>
          <w:rtl w:val="0"/>
        </w:rPr>
        <w:t xml:space="preserve">Mobile phases, </w:t>
      </w:r>
    </w:p>
    <w:p w:rsidR="00000000" w:rsidDel="00000000" w:rsidP="00000000" w:rsidRDefault="00000000" w:rsidRPr="00000000">
      <w:pPr>
        <w:numPr>
          <w:ilvl w:val="1"/>
          <w:numId w:val="3"/>
        </w:numPr>
        <w:ind w:left="1440" w:hanging="360"/>
        <w:contextualSpacing w:val="1"/>
        <w:rPr>
          <w:sz w:val="20"/>
          <w:szCs w:val="20"/>
        </w:rPr>
      </w:pPr>
      <w:r w:rsidDel="00000000" w:rsidR="00000000" w:rsidRPr="00000000">
        <w:rPr>
          <w:sz w:val="20"/>
          <w:szCs w:val="20"/>
          <w:rtl w:val="0"/>
        </w:rPr>
        <w:t xml:space="preserve">Column output analysis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They asked whether the assistance would be just while writing, or also while reading papers/searching through papers.</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They asked whether the proposed editorial system can cope with the typos, and writing error?</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They asked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Help-while-writing would save time for supervisors. </w:t>
      </w:r>
      <w:r w:rsidDel="00000000" w:rsidR="00000000" w:rsidRPr="00000000">
        <w:rPr>
          <w:rtl w:val="0"/>
        </w:rPr>
      </w:r>
    </w:p>
    <w:p w:rsidR="00000000" w:rsidDel="00000000" w:rsidP="00000000" w:rsidRDefault="00000000" w:rsidRPr="00000000">
      <w:pPr>
        <w:pStyle w:val="Heading2"/>
        <w:contextualSpacing w:val="0"/>
      </w:pPr>
      <w:bookmarkStart w:colFirst="0" w:colLast="0" w:name="h.meiyn2j6rjof" w:id="4"/>
      <w:bookmarkEnd w:id="4"/>
      <w:r w:rsidDel="00000000" w:rsidR="00000000" w:rsidRPr="00000000">
        <w:rPr>
          <w:rtl w:val="0"/>
        </w:rPr>
        <w:t xml:space="preserve">Limitations of the approach: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was not successful in getting the taxonomies. </w:t>
      </w:r>
    </w:p>
    <w:p w:rsidR="00000000" w:rsidDel="00000000" w:rsidP="00000000" w:rsidRDefault="00000000" w:rsidRPr="00000000">
      <w:pPr>
        <w:contextualSpacing w:val="0"/>
      </w:pPr>
      <w:r w:rsidDel="00000000" w:rsidR="00000000" w:rsidRPr="00000000">
        <w:rPr>
          <w:rtl w:val="0"/>
        </w:rPr>
        <w:t xml:space="preserve">I was not successful in finding relations.</w:t>
      </w:r>
    </w:p>
    <w:p w:rsidR="00000000" w:rsidDel="00000000" w:rsidP="00000000" w:rsidRDefault="00000000" w:rsidRPr="00000000">
      <w:pPr>
        <w:contextualSpacing w:val="0"/>
      </w:pPr>
      <w:r w:rsidDel="00000000" w:rsidR="00000000" w:rsidRPr="00000000">
        <w:rPr>
          <w:rtl w:val="0"/>
        </w:rPr>
        <w:t xml:space="preserve">I was not successful in conveying the “right message” to the chemistry community.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