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Ring Controls</w:t>
      </w:r>
    </w:p>
    <w:p>
      <w:r>
        <w:t>European releases require Legal, Security, and Product approval. A phased release starts at ten percent, remains there for 48 hours, and expands only when latency, accessibility, and audit-log gates pass. This supersedes DOC-0004.</w:t>
      </w:r>
    </w:p>
    <w:p>
      <w:r>
        <w:t>Document ID: DOC-0003. Status: authoritative. Region: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Ring Controls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