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06</w:t>
      </w:r>
    </w:p>
    <w:p>
      <w:r>
        <w:t>TKT-00026 · Service Request case 026 · Synthetic service request for SYS-002 submitted by CUST-012.</w:t>
      </w:r>
    </w:p>
    <w:p>
      <w:r>
        <w:t>TKT-00027 · Access Request case 027 · Synthetic access request for SYS-003 submitted by CUST-013.</w:t>
      </w:r>
    </w:p>
    <w:p>
      <w:r>
        <w:t>TKT-00028 · Change Request case 028 · Synthetic change request for SYS-004 submitted by CUST-014.</w:t>
      </w:r>
    </w:p>
    <w:p>
      <w:r>
        <w:t>TKT-00029 · Data Quality Alert case 029 · Synthetic data quality alert for SYS-005 submitted by CUST-001.</w:t>
      </w:r>
    </w:p>
    <w:p>
      <w:r>
        <w:t>TKT-00030 · Policy Exception case 030 · Synthetic policy exception for SYS-006 submitted by CUST-002.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06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