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intake batch 09</w:t>
      </w:r>
    </w:p>
    <w:p>
      <w:r>
        <w:t>TKT-00041 · Incident case 041 · Synthetic incident for SYS-005 submitted by CUST-013. Requester identity is missing.</w:t>
      </w:r>
    </w:p>
    <w:p>
      <w:r>
        <w:t>TKT-00042 · Service Request case 042 · Synthetic service request for SYS-006 submitted by CUST-014.</w:t>
      </w:r>
    </w:p>
    <w:p>
      <w:r>
        <w:t>TKT-00043 · Access Request case 043 · Synthetic access request for SYS-007 submitted by CUST-001. The attached legacy runbook permits one approval while current policy requires two.</w:t>
      </w:r>
    </w:p>
    <w:p>
      <w:r>
        <w:t>TKT-00044 · Change Request case 044 · Synthetic change request for SYS-008 submitted by CUST-002. The mock configuration service returns an unexpected schema.</w:t>
      </w:r>
    </w:p>
    <w:p>
      <w:r>
        <w:t>TKT-00045 · Data Quality Alert case 045 · Synthetic data quality alert for SYS-009 submitted by CUST-003. The name may refer to Northstar Fabrication or North Star Logistics.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intake batch 09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