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10</w:t>
      </w:r>
    </w:p>
    <w:p>
      <w:r>
        <w:t>TKT-00046 · Policy Exception case 046 · Synthetic policy exception for SYS-010 submitted by CUST-004. Requester identity is missing.</w:t>
      </w:r>
    </w:p>
    <w:p>
      <w:r>
        <w:t>TKT-00047 · Customer Escalation case 047 · Synthetic customer escalation for SYS-011 submitted by CUST-005.</w:t>
      </w:r>
    </w:p>
    <w:p>
      <w:r>
        <w:t>TKT-00048 · Approval Request case 048 · Synthetic approval request for SYS-012 submitted by CUST-006. The attached legacy runbook permits one approval while current policy requires two.</w:t>
      </w:r>
    </w:p>
    <w:p>
      <w:r>
        <w:t>TKT-00049 · Incident case 049 · Synthetic incident for SYS-001 submitted by CUST-007. The mock configuration service returns an unexpected schema.</w:t>
      </w:r>
    </w:p>
    <w:p>
      <w:r>
        <w:t>TKT-00050 · Service Request case 050 · Synthetic service request for SYS-002 submitted by CUST-008. The name may refer to Northstar Fabrication or North Star Logistics.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10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