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Alder BioSystems strategy interview</w:t>
      </w:r>
    </w:p>
    <w:p>
      <w:r>
        <w:t>Alder will not expand automation without region-specific audit retention.</w:t>
      </w:r>
    </w:p>
    <w:p>
      <w:r>
        <w:t>Source ID: SRC-011. Reliability: high.</w:t>
      </w:r>
    </w:p>
    <w:p>
      <w:r>
        <w:t>This artifact is fully fictional and was created for the Ledgerly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BioSystems strategy interview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