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6720"/>
        <w:tblGridChange w:id="0">
          <w:tblGrid>
            <w:gridCol w:w="3900"/>
            <w:gridCol w:w="67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674ea7" w:space="0" w:sz="8" w:val="single"/>
              <w:left w:color="674ea7" w:space="0" w:sz="8" w:val="single"/>
              <w:bottom w:color="ffffff" w:space="0" w:sz="8" w:val="single"/>
              <w:right w:color="674ea7" w:space="0" w:sz="8" w:val="single"/>
            </w:tcBorders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Lexend Medium" w:cs="Lexend Medium" w:eastAsia="Lexend Medium" w:hAnsi="Lexend Medium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f3f3f3"/>
                <w:sz w:val="20"/>
                <w:szCs w:val="20"/>
                <w:rtl w:val="0"/>
              </w:rPr>
              <w:t xml:space="preserve">Overview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exend Light" w:cs="Lexend Light" w:eastAsia="Lexend Light" w:hAnsi="Lexend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434343"/>
                <w:sz w:val="20"/>
                <w:szCs w:val="20"/>
                <w:rtl w:val="0"/>
              </w:rPr>
              <w:t xml:space="preserve">Target Personas</w:t>
            </w:r>
            <w:r w:rsidDel="00000000" w:rsidR="00000000" w:rsidRPr="00000000">
              <w:rPr>
                <w:rFonts w:ascii="Lexend Light" w:cs="Lexend Light" w:eastAsia="Lexend Light" w:hAnsi="Lexend Light"/>
                <w:color w:val="434343"/>
                <w:sz w:val="20"/>
                <w:szCs w:val="20"/>
                <w:rtl w:val="0"/>
              </w:rPr>
              <w:br w:type="textWrapping"/>
              <w:t xml:space="preserve">VP, Director level in</w:t>
              <w:br w:type="textWrapping"/>
              <w:t xml:space="preserve">Security, Cloud, Application Development, Platform Engineering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exend Light" w:cs="Lexend Light" w:eastAsia="Lexend Light" w:hAnsi="Lexend Light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666666"/>
                <w:sz w:val="18"/>
                <w:szCs w:val="18"/>
                <w:rtl w:val="0"/>
              </w:rPr>
              <w:t xml:space="preserve">Ideal customers for this sales play include those who have leveraged Terraform CE or other IaC technologies to provision infrastructure on an ad-hoc basis.</w:t>
              <w:br w:type="textWrapping"/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 Light" w:cs="Lexend Light" w:eastAsia="Lexend Light" w:hAnsi="Lexend Light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color w:val="666666"/>
                <w:sz w:val="18"/>
                <w:szCs w:val="18"/>
                <w:rtl w:val="0"/>
              </w:rPr>
              <w:t xml:space="preserve">This Sales play can also be used for expanding into existing accounts (e.g. new business units) or customers who have no experience with IaC.</w:t>
            </w:r>
          </w:p>
        </w:tc>
      </w:tr>
    </w:tbl>
    <w:p w:rsidR="00000000" w:rsidDel="00000000" w:rsidP="00000000" w:rsidRDefault="00000000" w:rsidRPr="00000000" w14:paraId="00000007">
      <w:pPr>
        <w:ind w:left="-450" w:firstLine="0"/>
        <w:rPr>
          <w:rFonts w:ascii="Lexend Light" w:cs="Lexend Light" w:eastAsia="Lexend Light" w:hAnsi="Lexend Light"/>
          <w:i w:val="1"/>
          <w:sz w:val="14"/>
          <w:szCs w:val="14"/>
        </w:rPr>
      </w:pPr>
      <w:r w:rsidDel="00000000" w:rsidR="00000000" w:rsidRPr="00000000">
        <w:rPr>
          <w:rFonts w:ascii="Lexend Light" w:cs="Lexend Light" w:eastAsia="Lexend Light" w:hAnsi="Lexend Light"/>
          <w:i w:val="1"/>
          <w:sz w:val="14"/>
          <w:szCs w:val="14"/>
          <w:rtl w:val="0"/>
        </w:rPr>
        <w:t xml:space="preserve">Note: This sales play will form the foundation for subsequent outcome specific sales plays that account teams can leverage to help customers fully leverage the benefits of our Enterprise features.</w:t>
      </w:r>
    </w:p>
    <w:tbl>
      <w:tblPr>
        <w:tblStyle w:val="Table2"/>
        <w:tblW w:w="1066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Lexend Medium" w:cs="Lexend Medium" w:eastAsia="Lexend Medium" w:hAnsi="Lexend Medium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f3f3f3"/>
                <w:sz w:val="20"/>
                <w:szCs w:val="20"/>
                <w:rtl w:val="0"/>
              </w:rPr>
              <w:t xml:space="preserve">Why &amp; What</w:t>
            </w:r>
          </w:p>
        </w:tc>
      </w:tr>
    </w:tbl>
    <w:p w:rsidR="00000000" w:rsidDel="00000000" w:rsidP="00000000" w:rsidRDefault="00000000" w:rsidRPr="00000000" w14:paraId="00000009">
      <w:pPr>
        <w:ind w:left="-360" w:firstLine="0"/>
        <w:rPr>
          <w:rFonts w:ascii="Lexend Light" w:cs="Lexend Light" w:eastAsia="Lexend Light" w:hAnsi="Lexend Light"/>
          <w:color w:val="0e0e0e"/>
          <w:sz w:val="18"/>
          <w:szCs w:val="18"/>
        </w:rPr>
      </w:pPr>
      <w:r w:rsidDel="00000000" w:rsidR="00000000" w:rsidRPr="00000000">
        <w:rPr>
          <w:rFonts w:ascii="Lexend Light" w:cs="Lexend Light" w:eastAsia="Lexend Light" w:hAnsi="Lexend Light"/>
          <w:color w:val="0e0e0e"/>
          <w:sz w:val="18"/>
          <w:szCs w:val="18"/>
          <w:rtl w:val="0"/>
        </w:rPr>
        <w:t xml:space="preserve">As an organization's cloud adoption grows, managing and provisioning infrastructure at scale becomes increasingly complex. Many face challenges like uncontrolled cloud sprawl, where teams independently adopt one or more cloud providers without a cohesive strategy. This ad-hoc cloud adoption leads to inconsistent architectures, heightened security risks, reduced productivity  and mounting technical debt.</w:t>
      </w:r>
    </w:p>
    <w:p w:rsidR="00000000" w:rsidDel="00000000" w:rsidP="00000000" w:rsidRDefault="00000000" w:rsidRPr="00000000" w14:paraId="0000000A">
      <w:pPr>
        <w:ind w:left="-360" w:firstLine="0"/>
        <w:rPr>
          <w:rFonts w:ascii="Lexend Light" w:cs="Lexend Light" w:eastAsia="Lexend Light" w:hAnsi="Lexend Light"/>
          <w:color w:val="0e0e0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firstLine="0"/>
        <w:rPr>
          <w:rFonts w:ascii="Lexend Light" w:cs="Lexend Light" w:eastAsia="Lexend Light" w:hAnsi="Lexend Light"/>
          <w:color w:val="0e0e0e"/>
          <w:sz w:val="18"/>
          <w:szCs w:val="18"/>
        </w:rPr>
      </w:pPr>
      <w:r w:rsidDel="00000000" w:rsidR="00000000" w:rsidRPr="00000000">
        <w:rPr>
          <w:rFonts w:ascii="Lexend Light" w:cs="Lexend Light" w:eastAsia="Lexend Light" w:hAnsi="Lexend Light"/>
          <w:color w:val="0e0e0e"/>
          <w:sz w:val="18"/>
          <w:szCs w:val="18"/>
          <w:rtl w:val="0"/>
        </w:rPr>
        <w:t xml:space="preserve">To overcome these challenges, organizations require a centralized platform that simplifies the infrastructure lifecycle. This solution must ensure consistency, maintain compliance and security standards, and optimize costs.</w:t>
      </w:r>
    </w:p>
    <w:p w:rsidR="00000000" w:rsidDel="00000000" w:rsidP="00000000" w:rsidRDefault="00000000" w:rsidRPr="00000000" w14:paraId="0000000C">
      <w:pPr>
        <w:ind w:left="-360" w:firstLine="0"/>
        <w:rPr>
          <w:rFonts w:ascii="Lexend Medium" w:cs="Lexend Medium" w:eastAsia="Lexend Medium" w:hAnsi="Lexend Medium"/>
          <w:color w:val="f3f3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360" w:firstLine="0"/>
        <w:rPr>
          <w:rFonts w:ascii="Lexend Light" w:cs="Lexend Light" w:eastAsia="Lexend Light" w:hAnsi="Lexend Light"/>
          <w:color w:val="0e0e0e"/>
          <w:sz w:val="18"/>
          <w:szCs w:val="18"/>
        </w:rPr>
      </w:pPr>
      <w:r w:rsidDel="00000000" w:rsidR="00000000" w:rsidRPr="00000000">
        <w:rPr>
          <w:rFonts w:ascii="Lexend Light" w:cs="Lexend Light" w:eastAsia="Lexend Light" w:hAnsi="Lexend Light"/>
          <w:color w:val="0e0e0e"/>
          <w:sz w:val="18"/>
          <w:szCs w:val="18"/>
          <w:rtl w:val="0"/>
        </w:rPr>
        <w:t xml:space="preserve">HCP Terraform addresses these needs as the market-leading control plane for infrastructure lifecycle management. It enables teams to provision and manage infrastructure efficiently across AWS, Azure, GCP, VMware, and on-premises environments, ensuring a unified, secure, and cost-effective approach to infrastructure operations.</w:t>
      </w:r>
    </w:p>
    <w:p w:rsidR="00000000" w:rsidDel="00000000" w:rsidP="00000000" w:rsidRDefault="00000000" w:rsidRPr="00000000" w14:paraId="0000000E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8955"/>
        <w:tblGridChange w:id="0">
          <w:tblGrid>
            <w:gridCol w:w="1650"/>
            <w:gridCol w:w="895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Lexend Light" w:cs="Lexend Light" w:eastAsia="Lexend Light" w:hAnsi="Lexend Light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f3f3f3"/>
                <w:sz w:val="20"/>
                <w:szCs w:val="20"/>
                <w:rtl w:val="0"/>
              </w:rPr>
              <w:t xml:space="preserve">Business Value of Implementing HCP Terraform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Lexend Light" w:cs="Lexend Light" w:eastAsia="Lexend Light" w:hAnsi="Lexend Light"/>
                <w:color w:val="f3f3f3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sz w:val="18"/>
                <w:szCs w:val="18"/>
                <w:rtl w:val="0"/>
              </w:rPr>
              <w:t xml:space="preserve">Scale processes, skills, cloud investment in a way that does not limit from where I am consuming cloud, including on-prem private cloud.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Lexend Light" w:cs="Lexend Light" w:eastAsia="Lexend Light" w:hAnsi="Lexend Light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sz w:val="18"/>
                <w:szCs w:val="18"/>
                <w:rtl w:val="0"/>
              </w:rPr>
              <w:t xml:space="preserve">Cost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Lexend Light" w:cs="Lexend Light" w:eastAsia="Lexend Light" w:hAnsi="Lexend Light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sz w:val="18"/>
                <w:szCs w:val="18"/>
                <w:rtl w:val="0"/>
              </w:rPr>
              <w:t xml:space="preserve">Effectively leverage cloud resources with guardrails that help control/reduce spend and support prioritization decisions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Lexend Light" w:cs="Lexend Light" w:eastAsia="Lexend Light" w:hAnsi="Lexend Light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sz w:val="18"/>
                <w:szCs w:val="18"/>
                <w:rtl w:val="0"/>
              </w:rPr>
              <w:t xml:space="preserve">Speed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Lexend Light" w:cs="Lexend Light" w:eastAsia="Lexend Light" w:hAnsi="Lexend Light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sz w:val="18"/>
                <w:szCs w:val="18"/>
                <w:rtl w:val="0"/>
              </w:rPr>
              <w:t xml:space="preserve">Meet LOB/Developer expectations/requirements for delivering business value to customers.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Lexend Light" w:cs="Lexend Light" w:eastAsia="Lexend Light" w:hAnsi="Lexend Light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sz w:val="18"/>
                <w:szCs w:val="18"/>
                <w:rtl w:val="0"/>
              </w:rPr>
              <w:t xml:space="preserve">Risk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Lexend Light" w:cs="Lexend Light" w:eastAsia="Lexend Light" w:hAnsi="Lexend Light"/>
                <w:sz w:val="18"/>
                <w:szCs w:val="18"/>
              </w:rPr>
            </w:pPr>
            <w:r w:rsidDel="00000000" w:rsidR="00000000" w:rsidRPr="00000000">
              <w:rPr>
                <w:rFonts w:ascii="Lexend Light" w:cs="Lexend Light" w:eastAsia="Lexend Light" w:hAnsi="Lexend Light"/>
                <w:sz w:val="18"/>
                <w:szCs w:val="18"/>
                <w:rtl w:val="0"/>
              </w:rPr>
              <w:t xml:space="preserve">Human Error, Waste, Lack of Visibility, Misconfiguration 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490"/>
        <w:tblGridChange w:id="0">
          <w:tblGrid>
            <w:gridCol w:w="5130"/>
            <w:gridCol w:w="54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f3f3f3" w:space="0" w:sz="8" w:val="single"/>
              <w:left w:color="f3f3f3" w:space="0" w:sz="8" w:val="single"/>
              <w:bottom w:color="d9d2e9" w:space="0" w:sz="8" w:val="single"/>
              <w:right w:color="f3f3f3" w:space="0" w:sz="8" w:val="single"/>
            </w:tcBorders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Lexend Medium" w:cs="Lexend Medium" w:eastAsia="Lexend Medium" w:hAnsi="Lexend Medium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f3f3f3"/>
                <w:sz w:val="20"/>
                <w:szCs w:val="20"/>
                <w:rtl w:val="0"/>
              </w:rPr>
              <w:t xml:space="preserve">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2e9" w:space="0" w:sz="8" w:val="single"/>
              <w:left w:color="d9d2e9" w:space="0" w:sz="8" w:val="single"/>
              <w:bottom w:color="d9d2e9" w:space="0" w:sz="8" w:val="single"/>
              <w:right w:color="d9d2e9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1st Call Deck (Pitch Deck) - for AM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Discovery &amp; Objection Handling Guide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2nd Call Deck (Technical) </w:t>
            </w:r>
          </w:p>
        </w:tc>
        <w:tc>
          <w:tcPr>
            <w:tcBorders>
              <w:top w:color="d9d2e9" w:space="0" w:sz="8" w:val="single"/>
              <w:left w:color="d9d2e9" w:space="0" w:sz="8" w:val="single"/>
              <w:bottom w:color="d9d2e9" w:space="0" w:sz="8" w:val="single"/>
              <w:right w:color="d9d2e9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Workshop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Deal Sizing Guide 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Lexend Light" w:cs="Lexend Light" w:eastAsia="Lexend Light" w:hAnsi="Lexend Light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Light">
    <w:embedRegular w:fontKey="{00000000-0000-0000-0000-000000000000}" r:id="rId3" w:subsetted="0"/>
    <w:embedBold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widowControl w:val="0"/>
      <w:spacing w:line="240" w:lineRule="auto"/>
      <w:ind w:right="-720" w:firstLine="720"/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Page </w:t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widowControl w:val="0"/>
      <w:spacing w:line="240" w:lineRule="auto"/>
      <w:ind w:right="-720" w:firstLine="720"/>
      <w:jc w:val="right"/>
      <w:rPr/>
    </w:pPr>
    <w:r w:rsidDel="00000000" w:rsidR="00000000" w:rsidRPr="00000000">
      <w:rPr>
        <w:b w:val="1"/>
        <w:sz w:val="16"/>
        <w:szCs w:val="16"/>
        <w:rtl w:val="0"/>
      </w:rPr>
      <w:t xml:space="preserve">  Sales 1-Pager </w:t>
    </w:r>
    <w:r w:rsidDel="00000000" w:rsidR="00000000" w:rsidRPr="00000000">
      <w:rPr>
        <w:sz w:val="16"/>
        <w:szCs w:val="16"/>
        <w:rtl w:val="0"/>
      </w:rPr>
      <w:t xml:space="preserve">/  [SALES PLAY NAME]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ind w:left="-540" w:firstLine="0"/>
      <w:rPr>
        <w:rFonts w:ascii="Lexend Light" w:cs="Lexend Light" w:eastAsia="Lexend Light" w:hAnsi="Lexend Light"/>
        <w:i w:val="1"/>
        <w:color w:val="666666"/>
        <w:sz w:val="18"/>
        <w:szCs w:val="18"/>
      </w:rPr>
    </w:pPr>
    <w:r w:rsidDel="00000000" w:rsidR="00000000" w:rsidRPr="00000000">
      <w:rPr>
        <w:rFonts w:ascii="Lexend SemiBold" w:cs="Lexend SemiBold" w:eastAsia="Lexend SemiBold" w:hAnsi="Lexend SemiBold"/>
        <w:sz w:val="44"/>
        <w:szCs w:val="44"/>
        <w:rtl w:val="0"/>
      </w:rPr>
      <w:t xml:space="preserve">[Tactical Sales Play Name]</w:t>
    </w:r>
    <w:r w:rsidDel="00000000" w:rsidR="00000000" w:rsidRPr="00000000">
      <w:rPr>
        <w:b w:val="1"/>
        <w:rtl w:val="0"/>
      </w:rPr>
      <w:br w:type="textWrapping"/>
    </w:r>
    <w:r w:rsidDel="00000000" w:rsidR="00000000" w:rsidRPr="00000000">
      <w:rPr>
        <w:rFonts w:ascii="Lexend" w:cs="Lexend" w:eastAsia="Lexend" w:hAnsi="Lexend"/>
        <w:color w:val="666666"/>
        <w:sz w:val="30"/>
        <w:szCs w:val="30"/>
        <w:rtl w:val="0"/>
      </w:rPr>
      <w:t xml:space="preserve">Sales 1-Pager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19051</wp:posOffset>
          </wp:positionV>
          <wp:extent cx="1538868" cy="3286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868" cy="328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Light-regular.ttf"/><Relationship Id="rId4" Type="http://schemas.openxmlformats.org/officeDocument/2006/relationships/font" Target="fonts/LexendLight-bold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