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62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6720"/>
        <w:tblGridChange w:id="0">
          <w:tblGrid>
            <w:gridCol w:w="3900"/>
            <w:gridCol w:w="6720"/>
          </w:tblGrid>
        </w:tblGridChange>
      </w:tblGrid>
      <w:tr>
        <w:trPr>
          <w:cantSplit w:val="0"/>
          <w:trHeight w:val="472.00000000000017" w:hRule="atLeast"/>
          <w:tblHeader w:val="0"/>
        </w:trPr>
        <w:tc>
          <w:tcPr>
            <w:gridSpan w:val="2"/>
            <w:tcBorders>
              <w:top w:color="ffec6e" w:space="0" w:sz="8" w:val="single"/>
              <w:left w:color="ffec6e" w:space="0" w:sz="8" w:val="single"/>
              <w:bottom w:color="ffec6e" w:space="0" w:sz="8" w:val="single"/>
              <w:right w:color="ffec6e" w:space="0" w:sz="8" w:val="single"/>
            </w:tcBorders>
            <w:shd w:fill="ffec6e"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exend Medium" w:cs="Lexend Medium" w:eastAsia="Lexend Medium" w:hAnsi="Lexend Medium"/>
                <w:sz w:val="20"/>
                <w:szCs w:val="20"/>
              </w:rPr>
            </w:pPr>
            <w:r w:rsidDel="00000000" w:rsidR="00000000" w:rsidRPr="00000000">
              <w:rPr>
                <w:rFonts w:ascii="Lexend Medium" w:cs="Lexend Medium" w:eastAsia="Lexend Medium" w:hAnsi="Lexend Medium"/>
                <w:sz w:val="20"/>
                <w:szCs w:val="20"/>
                <w:rtl w:val="0"/>
              </w:rPr>
              <w:t xml:space="preserve">Overview</w:t>
            </w:r>
          </w:p>
        </w:tc>
      </w:tr>
      <w:tr>
        <w:trPr>
          <w:cantSplit w:val="0"/>
          <w:tblHeader w:val="0"/>
        </w:trPr>
        <w:tc>
          <w:tcPr>
            <w:tcBorders>
              <w:top w:color="ffec6e"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Lexend Light" w:cs="Lexend Light" w:eastAsia="Lexend Light" w:hAnsi="Lexend Light"/>
                <w:color w:val="434343"/>
                <w:sz w:val="20"/>
                <w:szCs w:val="20"/>
              </w:rPr>
            </w:pPr>
            <w:r w:rsidDel="00000000" w:rsidR="00000000" w:rsidRPr="00000000">
              <w:rPr>
                <w:rFonts w:ascii="Lexend" w:cs="Lexend" w:eastAsia="Lexend" w:hAnsi="Lexend"/>
                <w:b w:val="1"/>
                <w:color w:val="434343"/>
                <w:sz w:val="20"/>
                <w:szCs w:val="20"/>
                <w:rtl w:val="0"/>
              </w:rPr>
              <w:t xml:space="preserve">Target Personas</w:t>
            </w:r>
            <w:r w:rsidDel="00000000" w:rsidR="00000000" w:rsidRPr="00000000">
              <w:rPr>
                <w:rFonts w:ascii="Lexend Light" w:cs="Lexend Light" w:eastAsia="Lexend Light" w:hAnsi="Lexend Light"/>
                <w:color w:val="434343"/>
                <w:sz w:val="20"/>
                <w:szCs w:val="20"/>
                <w:rtl w:val="0"/>
              </w:rPr>
              <w:br w:type="textWrapping"/>
            </w:r>
            <w:r w:rsidDel="00000000" w:rsidR="00000000" w:rsidRPr="00000000">
              <w:rPr>
                <w:rFonts w:ascii="Lexend Light" w:cs="Lexend Light" w:eastAsia="Lexend Light" w:hAnsi="Lexend Light"/>
                <w:color w:val="434343"/>
                <w:sz w:val="20"/>
                <w:szCs w:val="20"/>
                <w:rtl w:val="0"/>
              </w:rPr>
              <w:t xml:space="preserve">Director</w:t>
            </w:r>
            <w:r w:rsidDel="00000000" w:rsidR="00000000" w:rsidRPr="00000000">
              <w:rPr>
                <w:rFonts w:ascii="Lexend Light" w:cs="Lexend Light" w:eastAsia="Lexend Light" w:hAnsi="Lexend Light"/>
                <w:color w:val="434343"/>
                <w:sz w:val="20"/>
                <w:szCs w:val="20"/>
                <w:rtl w:val="0"/>
              </w:rPr>
              <w:t xml:space="preserve"> or Technical Manager level in</w:t>
              <w:br w:type="textWrapping"/>
              <w:t xml:space="preserve">Security, </w:t>
            </w:r>
            <w:r w:rsidDel="00000000" w:rsidR="00000000" w:rsidRPr="00000000">
              <w:rPr>
                <w:rFonts w:ascii="Lexend Light" w:cs="Lexend Light" w:eastAsia="Lexend Light" w:hAnsi="Lexend Light"/>
                <w:color w:val="434343"/>
                <w:sz w:val="20"/>
                <w:szCs w:val="20"/>
                <w:rtl w:val="0"/>
              </w:rPr>
              <w:t xml:space="preserve">Application Development, </w:t>
            </w:r>
            <w:r w:rsidDel="00000000" w:rsidR="00000000" w:rsidRPr="00000000">
              <w:rPr>
                <w:rFonts w:ascii="Lexend Light" w:cs="Lexend Light" w:eastAsia="Lexend Light" w:hAnsi="Lexend Light"/>
                <w:color w:val="434343"/>
                <w:sz w:val="20"/>
                <w:szCs w:val="20"/>
                <w:rtl w:val="0"/>
              </w:rPr>
              <w:t xml:space="preserve">Platform Engineering</w:t>
            </w:r>
            <w:r w:rsidDel="00000000" w:rsidR="00000000" w:rsidRPr="00000000">
              <w:rPr>
                <w:rFonts w:ascii="Lexend Light" w:cs="Lexend Light" w:eastAsia="Lexend Light" w:hAnsi="Lexend Light"/>
                <w:color w:val="434343"/>
                <w:sz w:val="20"/>
                <w:szCs w:val="20"/>
                <w:rtl w:val="0"/>
              </w:rPr>
              <w:t xml:space="preserve"> or Architect</w:t>
            </w:r>
            <w:r w:rsidDel="00000000" w:rsidR="00000000" w:rsidRPr="00000000">
              <w:rPr>
                <w:rtl w:val="0"/>
              </w:rPr>
            </w:r>
          </w:p>
        </w:tc>
        <w:tc>
          <w:tcPr>
            <w:tcBorders>
              <w:top w:color="ffec6e"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Lexend Light" w:cs="Lexend Light" w:eastAsia="Lexend Light" w:hAnsi="Lexend Light"/>
                <w:color w:val="434343"/>
                <w:sz w:val="18"/>
                <w:szCs w:val="18"/>
              </w:rPr>
            </w:pPr>
            <w:r w:rsidDel="00000000" w:rsidR="00000000" w:rsidRPr="00000000">
              <w:rPr>
                <w:rFonts w:ascii="Lexend Light" w:cs="Lexend Light" w:eastAsia="Lexend Light" w:hAnsi="Lexend Light"/>
                <w:color w:val="434343"/>
                <w:sz w:val="18"/>
                <w:szCs w:val="18"/>
                <w:rtl w:val="0"/>
              </w:rPr>
              <w:t xml:space="preserve">Ideal customers for this sales play include those who have used Vault CE or other certificate management tools to generate PKI certificates.</w:t>
            </w:r>
            <w:r w:rsidDel="00000000" w:rsidR="00000000" w:rsidRPr="00000000">
              <w:rPr>
                <w:rFonts w:ascii="Lexend Light" w:cs="Lexend Light" w:eastAsia="Lexend Light" w:hAnsi="Lexend Light"/>
                <w:color w:val="434343"/>
                <w:sz w:val="18"/>
                <w:szCs w:val="18"/>
                <w:rtl w:val="0"/>
              </w:rPr>
              <w:t xml:space="preserve"> This sales play is a good fit for </w:t>
            </w:r>
            <w:commentRangeStart w:id="0"/>
            <w:commentRangeStart w:id="1"/>
            <w:commentRangeStart w:id="2"/>
            <w:r w:rsidDel="00000000" w:rsidR="00000000" w:rsidRPr="00000000">
              <w:rPr>
                <w:rFonts w:ascii="Lexend Light" w:cs="Lexend Light" w:eastAsia="Lexend Light" w:hAnsi="Lexend Light"/>
                <w:color w:val="434343"/>
                <w:sz w:val="18"/>
                <w:szCs w:val="18"/>
                <w:rtl w:val="0"/>
              </w:rPr>
              <w:t xml:space="preserve">customers looking to automatically manage PKI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Lexend Light" w:cs="Lexend Light" w:eastAsia="Lexend Light" w:hAnsi="Lexend Light"/>
                <w:color w:val="434343"/>
                <w:sz w:val="18"/>
                <w:szCs w:val="18"/>
                <w:rtl w:val="0"/>
              </w:rPr>
              <w:t xml:space="preserve">certificates for closed ecosystems like mesh, mTLS, or looking to implement private certificate authorities.</w:t>
            </w:r>
          </w:p>
        </w:tc>
      </w:tr>
    </w:tbl>
    <w:p w:rsidR="00000000" w:rsidDel="00000000" w:rsidP="00000000" w:rsidRDefault="00000000" w:rsidRPr="00000000" w14:paraId="00000006">
      <w:pPr>
        <w:ind w:left="-450" w:firstLine="0"/>
        <w:rPr>
          <w:rFonts w:ascii="Lexend Light" w:cs="Lexend Light" w:eastAsia="Lexend Light" w:hAnsi="Lexend Light"/>
          <w:i w:val="1"/>
          <w:sz w:val="14"/>
          <w:szCs w:val="14"/>
        </w:rPr>
      </w:pPr>
      <w:r w:rsidDel="00000000" w:rsidR="00000000" w:rsidRPr="00000000">
        <w:rPr>
          <w:rtl w:val="0"/>
        </w:rPr>
      </w:r>
    </w:p>
    <w:tbl>
      <w:tblPr>
        <w:tblStyle w:val="Table2"/>
        <w:tblW w:w="106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65"/>
        <w:tblGridChange w:id="0">
          <w:tblGrid>
            <w:gridCol w:w="10665"/>
          </w:tblGrid>
        </w:tblGridChange>
      </w:tblGrid>
      <w:tr>
        <w:trPr>
          <w:cantSplit w:val="0"/>
          <w:tblHeader w:val="0"/>
        </w:trPr>
        <w:tc>
          <w:tcPr>
            <w:tcBorders>
              <w:top w:color="ffec6e" w:space="0" w:sz="8" w:val="single"/>
              <w:left w:color="ffec6e" w:space="0" w:sz="8" w:val="single"/>
              <w:bottom w:color="ffec6e" w:space="0" w:sz="8" w:val="single"/>
              <w:right w:color="ffec6e" w:space="0" w:sz="8" w:val="single"/>
            </w:tcBorders>
            <w:shd w:fill="ffec6e" w:val="clear"/>
            <w:tcMar>
              <w:top w:w="100.0" w:type="dxa"/>
              <w:left w:w="100.0" w:type="dxa"/>
              <w:bottom w:w="100.0" w:type="dxa"/>
              <w:right w:w="100.0" w:type="dxa"/>
            </w:tcMar>
            <w:vAlign w:val="top"/>
          </w:tcPr>
          <w:p w:rsidR="00000000" w:rsidDel="00000000" w:rsidP="00000000" w:rsidRDefault="00000000" w:rsidRPr="00000000" w14:paraId="00000007">
            <w:pPr>
              <w:rPr>
                <w:rFonts w:ascii="Lexend Medium" w:cs="Lexend Medium" w:eastAsia="Lexend Medium" w:hAnsi="Lexend Medium"/>
                <w:sz w:val="20"/>
                <w:szCs w:val="20"/>
              </w:rPr>
            </w:pPr>
            <w:r w:rsidDel="00000000" w:rsidR="00000000" w:rsidRPr="00000000">
              <w:rPr>
                <w:rFonts w:ascii="Lexend Medium" w:cs="Lexend Medium" w:eastAsia="Lexend Medium" w:hAnsi="Lexend Medium"/>
                <w:sz w:val="20"/>
                <w:szCs w:val="20"/>
                <w:rtl w:val="0"/>
              </w:rPr>
              <w:t xml:space="preserve">Why</w:t>
            </w:r>
            <w:r w:rsidDel="00000000" w:rsidR="00000000" w:rsidRPr="00000000">
              <w:rPr>
                <w:rFonts w:ascii="Lexend Medium" w:cs="Lexend Medium" w:eastAsia="Lexend Medium" w:hAnsi="Lexend Medium"/>
                <w:sz w:val="20"/>
                <w:szCs w:val="20"/>
                <w:rtl w:val="0"/>
              </w:rPr>
              <w:t xml:space="preserve"> &amp; </w:t>
            </w:r>
            <w:r w:rsidDel="00000000" w:rsidR="00000000" w:rsidRPr="00000000">
              <w:rPr>
                <w:rFonts w:ascii="Lexend Medium" w:cs="Lexend Medium" w:eastAsia="Lexend Medium" w:hAnsi="Lexend Medium"/>
                <w:sz w:val="20"/>
                <w:szCs w:val="20"/>
                <w:rtl w:val="0"/>
              </w:rPr>
              <w:t xml:space="preserve">What</w:t>
            </w:r>
            <w:r w:rsidDel="00000000" w:rsidR="00000000" w:rsidRPr="00000000">
              <w:rPr>
                <w:rtl w:val="0"/>
              </w:rPr>
            </w:r>
          </w:p>
        </w:tc>
      </w:tr>
    </w:tbl>
    <w:p w:rsidR="00000000" w:rsidDel="00000000" w:rsidP="00000000" w:rsidRDefault="00000000" w:rsidRPr="00000000" w14:paraId="00000008">
      <w:pPr>
        <w:ind w:left="-360" w:firstLine="36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9">
      <w:pPr>
        <w:ind w:left="-360" w:firstLine="360"/>
        <w:rPr>
          <w:rFonts w:ascii="Lexend Light" w:cs="Lexend Light" w:eastAsia="Lexend Light" w:hAnsi="Lexend Light"/>
          <w:color w:val="434343"/>
          <w:sz w:val="18"/>
          <w:szCs w:val="18"/>
        </w:rPr>
      </w:pPr>
      <w:r w:rsidDel="00000000" w:rsidR="00000000" w:rsidRPr="00000000">
        <w:rPr>
          <w:rFonts w:ascii="Lexend Light" w:cs="Lexend Light" w:eastAsia="Lexend Light" w:hAnsi="Lexend Light"/>
          <w:color w:val="434343"/>
          <w:sz w:val="18"/>
          <w:szCs w:val="18"/>
          <w:rtl w:val="0"/>
        </w:rPr>
        <w:t xml:space="preserve">As compliance requirements tighten around certificate rotation and revocation, organizations must accelerate certificate deployment beyond the limits of today's manual processes. Currently, an operator may request a certificate via a helpdesk ticket, manually connect to the consuming workload, and restart it—an inefficient approach that fails to meet evolving compliance demands.</w:t>
      </w:r>
    </w:p>
    <w:p w:rsidR="00000000" w:rsidDel="00000000" w:rsidP="00000000" w:rsidRDefault="00000000" w:rsidRPr="00000000" w14:paraId="0000000A">
      <w:pPr>
        <w:ind w:left="-360" w:firstLine="360"/>
        <w:rPr>
          <w:rFonts w:ascii="Lexend Light" w:cs="Lexend Light" w:eastAsia="Lexend Light" w:hAnsi="Lexend Light"/>
          <w:color w:val="434343"/>
          <w:sz w:val="18"/>
          <w:szCs w:val="18"/>
        </w:rPr>
      </w:pPr>
      <w:r w:rsidDel="00000000" w:rsidR="00000000" w:rsidRPr="00000000">
        <w:rPr>
          <w:rtl w:val="0"/>
        </w:rPr>
      </w:r>
    </w:p>
    <w:p w:rsidR="00000000" w:rsidDel="00000000" w:rsidP="00000000" w:rsidRDefault="00000000" w:rsidRPr="00000000" w14:paraId="0000000B">
      <w:pPr>
        <w:ind w:left="-360" w:firstLine="360"/>
        <w:rPr>
          <w:rFonts w:ascii="Lexend Light" w:cs="Lexend Light" w:eastAsia="Lexend Light" w:hAnsi="Lexend Light"/>
          <w:color w:val="434343"/>
          <w:sz w:val="18"/>
          <w:szCs w:val="18"/>
        </w:rPr>
      </w:pPr>
      <w:r w:rsidDel="00000000" w:rsidR="00000000" w:rsidRPr="00000000">
        <w:rPr>
          <w:rFonts w:ascii="Lexend Light" w:cs="Lexend Light" w:eastAsia="Lexend Light" w:hAnsi="Lexend Light"/>
          <w:color w:val="434343"/>
          <w:sz w:val="18"/>
          <w:szCs w:val="18"/>
          <w:rtl w:val="0"/>
        </w:rPr>
        <w:t xml:space="preserve">A 2024 Venafi survey found enterprises spend 110,000 hours deploying certificates, with automation still rare—29% rely on spreadsheets for tracking. Meanwhile, certificate-related outages have cost companies millions: in 2023, Starlink experienced service disruption due to an expired ground station certificate, and in 2022, </w:t>
      </w:r>
      <w:commentRangeStart w:id="3"/>
      <w:commentRangeStart w:id="4"/>
      <w:r w:rsidDel="00000000" w:rsidR="00000000" w:rsidRPr="00000000">
        <w:rPr>
          <w:rFonts w:ascii="Lexend Light" w:cs="Lexend Light" w:eastAsia="Lexend Light" w:hAnsi="Lexend Light"/>
          <w:color w:val="434343"/>
          <w:sz w:val="18"/>
          <w:szCs w:val="18"/>
          <w:rtl w:val="0"/>
        </w:rPr>
        <w:t xml:space="preserve">Spotify's Megaphone</w:t>
      </w:r>
      <w:commentRangeEnd w:id="3"/>
      <w:r w:rsidDel="00000000" w:rsidR="00000000" w:rsidRPr="00000000">
        <w:commentReference w:id="3"/>
      </w:r>
      <w:commentRangeEnd w:id="4"/>
      <w:r w:rsidDel="00000000" w:rsidR="00000000" w:rsidRPr="00000000">
        <w:commentReference w:id="4"/>
      </w:r>
      <w:r w:rsidDel="00000000" w:rsidR="00000000" w:rsidRPr="00000000">
        <w:rPr>
          <w:rFonts w:ascii="Lexend Light" w:cs="Lexend Light" w:eastAsia="Lexend Light" w:hAnsi="Lexend Light"/>
          <w:color w:val="434343"/>
          <w:sz w:val="18"/>
          <w:szCs w:val="18"/>
          <w:rtl w:val="0"/>
        </w:rPr>
        <w:t xml:space="preserve"> was down for over nine hours due to an expired TLS certificate. A 2016 Ponemon Institute report estimates downtime costs at ~$9,000 per minute, meaning failure to modernize could result in losses of up to $4.8M per incident.</w:t>
      </w:r>
    </w:p>
    <w:p w:rsidR="00000000" w:rsidDel="00000000" w:rsidP="00000000" w:rsidRDefault="00000000" w:rsidRPr="00000000" w14:paraId="0000000C">
      <w:pPr>
        <w:ind w:left="-360" w:firstLine="360"/>
        <w:rPr>
          <w:rFonts w:ascii="Lexend Light" w:cs="Lexend Light" w:eastAsia="Lexend Light" w:hAnsi="Lexend Light"/>
          <w:color w:val="434343"/>
          <w:sz w:val="18"/>
          <w:szCs w:val="18"/>
        </w:rPr>
      </w:pPr>
      <w:r w:rsidDel="00000000" w:rsidR="00000000" w:rsidRPr="00000000">
        <w:rPr>
          <w:rtl w:val="0"/>
        </w:rPr>
      </w:r>
    </w:p>
    <w:p w:rsidR="00000000" w:rsidDel="00000000" w:rsidP="00000000" w:rsidRDefault="00000000" w:rsidRPr="00000000" w14:paraId="0000000D">
      <w:pPr>
        <w:ind w:left="-360" w:firstLine="360"/>
        <w:rPr>
          <w:rFonts w:ascii="Lexend Light" w:cs="Lexend Light" w:eastAsia="Lexend Light" w:hAnsi="Lexend Light"/>
          <w:color w:val="434343"/>
          <w:sz w:val="18"/>
          <w:szCs w:val="18"/>
        </w:rPr>
      </w:pPr>
      <w:r w:rsidDel="00000000" w:rsidR="00000000" w:rsidRPr="00000000">
        <w:rPr>
          <w:rFonts w:ascii="Lexend Light" w:cs="Lexend Light" w:eastAsia="Lexend Light" w:hAnsi="Lexend Light"/>
          <w:color w:val="434343"/>
          <w:sz w:val="18"/>
          <w:szCs w:val="18"/>
          <w:rtl w:val="0"/>
        </w:rPr>
        <w:t xml:space="preserve">With HashiCorp's opinionated workflow, teams can eliminate inefficiencies, reducing certificate deployment effort by 99%. Vault automates issuance and lifecycle management, ensuring security leaders can protect valid identities, enforce compliance, and reduce operational costs—all within a unified, scalable platform.</w:t>
      </w:r>
    </w:p>
    <w:p w:rsidR="00000000" w:rsidDel="00000000" w:rsidP="00000000" w:rsidRDefault="00000000" w:rsidRPr="00000000" w14:paraId="0000000E">
      <w:pPr>
        <w:ind w:left="-360" w:firstLine="360"/>
        <w:rPr>
          <w:rFonts w:ascii="Lexend Light" w:cs="Lexend Light" w:eastAsia="Lexend Light" w:hAnsi="Lexend Light"/>
          <w:sz w:val="18"/>
          <w:szCs w:val="18"/>
        </w:rPr>
      </w:pPr>
      <w:r w:rsidDel="00000000" w:rsidR="00000000" w:rsidRPr="00000000">
        <w:rPr>
          <w:rtl w:val="0"/>
        </w:rPr>
      </w:r>
    </w:p>
    <w:tbl>
      <w:tblPr>
        <w:tblStyle w:val="Table3"/>
        <w:tblW w:w="1060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955"/>
        <w:tblGridChange w:id="0">
          <w:tblGrid>
            <w:gridCol w:w="1650"/>
            <w:gridCol w:w="8955"/>
          </w:tblGrid>
        </w:tblGridChange>
      </w:tblGrid>
      <w:tr>
        <w:trPr>
          <w:cantSplit w:val="0"/>
          <w:trHeight w:val="400" w:hRule="atLeast"/>
          <w:tblHeader w:val="0"/>
        </w:trPr>
        <w:tc>
          <w:tcPr>
            <w:gridSpan w:val="2"/>
            <w:tcBorders>
              <w:top w:color="ffec6e" w:space="0" w:sz="8" w:val="single"/>
              <w:left w:color="ffec6e" w:space="0" w:sz="8" w:val="single"/>
              <w:bottom w:color="ffec6e" w:space="0" w:sz="8" w:val="single"/>
              <w:right w:color="ffec6e" w:space="0" w:sz="8" w:val="single"/>
            </w:tcBorders>
            <w:shd w:fill="ffec6e" w:val="clear"/>
            <w:tcMar>
              <w:top w:w="100.0" w:type="dxa"/>
              <w:left w:w="100.0" w:type="dxa"/>
              <w:bottom w:w="100.0" w:type="dxa"/>
              <w:right w:w="100.0" w:type="dxa"/>
            </w:tcMar>
            <w:vAlign w:val="top"/>
          </w:tcPr>
          <w:p w:rsidR="00000000" w:rsidDel="00000000" w:rsidP="00000000" w:rsidRDefault="00000000" w:rsidRPr="00000000" w14:paraId="0000000F">
            <w:pPr>
              <w:rPr>
                <w:rFonts w:ascii="Lexend Light" w:cs="Lexend Light" w:eastAsia="Lexend Light" w:hAnsi="Lexend Light"/>
                <w:sz w:val="20"/>
                <w:szCs w:val="20"/>
              </w:rPr>
            </w:pPr>
            <w:r w:rsidDel="00000000" w:rsidR="00000000" w:rsidRPr="00000000">
              <w:rPr>
                <w:rFonts w:ascii="Lexend Medium" w:cs="Lexend Medium" w:eastAsia="Lexend Medium" w:hAnsi="Lexend Medium"/>
                <w:sz w:val="20"/>
                <w:szCs w:val="20"/>
                <w:rtl w:val="0"/>
              </w:rPr>
              <w:t xml:space="preserve">Business Value of Implementing Automatic Certificate Renewal with </w:t>
            </w:r>
            <w:r w:rsidDel="00000000" w:rsidR="00000000" w:rsidRPr="00000000">
              <w:rPr>
                <w:rFonts w:ascii="Lexend Medium" w:cs="Lexend Medium" w:eastAsia="Lexend Medium" w:hAnsi="Lexend Medium"/>
                <w:sz w:val="20"/>
                <w:szCs w:val="20"/>
                <w:rtl w:val="0"/>
              </w:rPr>
              <w:t xml:space="preserve">HashiCorp Vault</w:t>
            </w:r>
            <w:r w:rsidDel="00000000" w:rsidR="00000000" w:rsidRPr="00000000">
              <w:rPr>
                <w:rtl w:val="0"/>
              </w:rPr>
            </w:r>
          </w:p>
        </w:tc>
      </w:tr>
    </w:tbl>
    <w:p w:rsidR="00000000" w:rsidDel="00000000" w:rsidP="00000000" w:rsidRDefault="00000000" w:rsidRPr="00000000" w14:paraId="00000011">
      <w:pPr>
        <w:spacing w:after="0" w:before="200" w:line="240" w:lineRule="auto"/>
        <w:ind w:left="-360" w:firstLine="0"/>
        <w:rPr>
          <w:rFonts w:ascii="Lexend Light" w:cs="Lexend Light" w:eastAsia="Lexend Light" w:hAnsi="Lexend Light"/>
          <w:color w:val="434343"/>
          <w:sz w:val="18"/>
          <w:szCs w:val="18"/>
        </w:rPr>
      </w:pPr>
      <w:r w:rsidDel="00000000" w:rsidR="00000000" w:rsidRPr="00000000">
        <w:rPr>
          <w:rFonts w:ascii="Lexend Light" w:cs="Lexend Light" w:eastAsia="Lexend Light" w:hAnsi="Lexend Light"/>
          <w:color w:val="434343"/>
          <w:sz w:val="18"/>
          <w:szCs w:val="18"/>
          <w:rtl w:val="0"/>
        </w:rPr>
        <w:t xml:space="preserve">Scale processes, procedures, and drive compliance for certificate management in a way that accelerates the automation of certificate renewal workflows.</w:t>
      </w:r>
    </w:p>
    <w:p w:rsidR="00000000" w:rsidDel="00000000" w:rsidP="00000000" w:rsidRDefault="00000000" w:rsidRPr="00000000" w14:paraId="00000012">
      <w:pPr>
        <w:numPr>
          <w:ilvl w:val="0"/>
          <w:numId w:val="3"/>
        </w:numPr>
        <w:spacing w:after="0" w:before="200" w:line="240" w:lineRule="auto"/>
        <w:ind w:left="720" w:hanging="360"/>
        <w:rPr>
          <w:rFonts w:ascii="Lexend Light" w:cs="Lexend Light" w:eastAsia="Lexend Light" w:hAnsi="Lexend Light"/>
          <w:color w:val="434343"/>
          <w:sz w:val="18"/>
          <w:szCs w:val="18"/>
        </w:rPr>
      </w:pPr>
      <w:r w:rsidDel="00000000" w:rsidR="00000000" w:rsidRPr="00000000">
        <w:rPr>
          <w:rFonts w:ascii="Lexend" w:cs="Lexend" w:eastAsia="Lexend" w:hAnsi="Lexend"/>
          <w:b w:val="1"/>
          <w:color w:val="434343"/>
          <w:sz w:val="18"/>
          <w:szCs w:val="18"/>
          <w:rtl w:val="0"/>
        </w:rPr>
        <w:t xml:space="preserve">Cost</w:t>
      </w:r>
      <w:r w:rsidDel="00000000" w:rsidR="00000000" w:rsidRPr="00000000">
        <w:rPr>
          <w:rFonts w:ascii="Lexend Light" w:cs="Lexend Light" w:eastAsia="Lexend Light" w:hAnsi="Lexend Light"/>
          <w:color w:val="434343"/>
          <w:sz w:val="18"/>
          <w:szCs w:val="18"/>
          <w:rtl w:val="0"/>
        </w:rPr>
        <w:t xml:space="preserve"> - Fewer hours manually configuring and renewing certificates across all services within the organization</w:t>
      </w:r>
    </w:p>
    <w:p w:rsidR="00000000" w:rsidDel="00000000" w:rsidP="00000000" w:rsidRDefault="00000000" w:rsidRPr="00000000" w14:paraId="00000013">
      <w:pPr>
        <w:numPr>
          <w:ilvl w:val="0"/>
          <w:numId w:val="3"/>
        </w:numPr>
        <w:spacing w:after="0" w:before="200" w:line="240" w:lineRule="auto"/>
        <w:ind w:left="720" w:hanging="360"/>
        <w:rPr>
          <w:rFonts w:ascii="Lexend Light" w:cs="Lexend Light" w:eastAsia="Lexend Light" w:hAnsi="Lexend Light"/>
          <w:color w:val="434343"/>
          <w:sz w:val="18"/>
          <w:szCs w:val="18"/>
        </w:rPr>
      </w:pPr>
      <w:r w:rsidDel="00000000" w:rsidR="00000000" w:rsidRPr="00000000">
        <w:rPr>
          <w:rFonts w:ascii="Lexend" w:cs="Lexend" w:eastAsia="Lexend" w:hAnsi="Lexend"/>
          <w:b w:val="1"/>
          <w:color w:val="434343"/>
          <w:sz w:val="18"/>
          <w:szCs w:val="18"/>
          <w:rtl w:val="0"/>
        </w:rPr>
        <w:t xml:space="preserve">Speed</w:t>
      </w:r>
      <w:r w:rsidDel="00000000" w:rsidR="00000000" w:rsidRPr="00000000">
        <w:rPr>
          <w:rFonts w:ascii="Lexend Light" w:cs="Lexend Light" w:eastAsia="Lexend Light" w:hAnsi="Lexend Light"/>
          <w:color w:val="434343"/>
          <w:sz w:val="18"/>
          <w:szCs w:val="18"/>
          <w:rtl w:val="0"/>
        </w:rPr>
        <w:t xml:space="preserve"> - Increase efficiency through automation of the certificate renewal process</w:t>
      </w:r>
    </w:p>
    <w:p w:rsidR="00000000" w:rsidDel="00000000" w:rsidP="00000000" w:rsidRDefault="00000000" w:rsidRPr="00000000" w14:paraId="00000014">
      <w:pPr>
        <w:numPr>
          <w:ilvl w:val="0"/>
          <w:numId w:val="3"/>
        </w:numPr>
        <w:spacing w:after="0" w:before="200" w:line="240" w:lineRule="auto"/>
        <w:ind w:left="720" w:hanging="360"/>
        <w:rPr>
          <w:rFonts w:ascii="Lexend Light" w:cs="Lexend Light" w:eastAsia="Lexend Light" w:hAnsi="Lexend Light"/>
          <w:color w:val="434343"/>
          <w:sz w:val="18"/>
          <w:szCs w:val="18"/>
        </w:rPr>
      </w:pPr>
      <w:r w:rsidDel="00000000" w:rsidR="00000000" w:rsidRPr="00000000">
        <w:rPr>
          <w:rFonts w:ascii="Lexend" w:cs="Lexend" w:eastAsia="Lexend" w:hAnsi="Lexend"/>
          <w:b w:val="1"/>
          <w:color w:val="434343"/>
          <w:sz w:val="18"/>
          <w:szCs w:val="18"/>
          <w:rtl w:val="0"/>
        </w:rPr>
        <w:t xml:space="preserve">Risk</w:t>
      </w:r>
      <w:r w:rsidDel="00000000" w:rsidR="00000000" w:rsidRPr="00000000">
        <w:rPr>
          <w:rFonts w:ascii="Lexend Light" w:cs="Lexend Light" w:eastAsia="Lexend Light" w:hAnsi="Lexend Light"/>
          <w:color w:val="434343"/>
          <w:sz w:val="18"/>
          <w:szCs w:val="18"/>
          <w:rtl w:val="0"/>
        </w:rPr>
        <w:t xml:space="preserve"> - </w:t>
      </w:r>
      <w:r w:rsidDel="00000000" w:rsidR="00000000" w:rsidRPr="00000000">
        <w:rPr>
          <w:rFonts w:ascii="Lexend Light" w:cs="Lexend Light" w:eastAsia="Lexend Light" w:hAnsi="Lexend Light"/>
          <w:color w:val="434343"/>
          <w:sz w:val="18"/>
          <w:szCs w:val="18"/>
          <w:rtl w:val="0"/>
        </w:rPr>
        <w:t xml:space="preserve">Meet accelerated certificate compliance guidelines</w:t>
      </w:r>
      <w:r w:rsidDel="00000000" w:rsidR="00000000" w:rsidRPr="00000000">
        <w:rPr>
          <w:rFonts w:ascii="Lexend Light" w:cs="Lexend Light" w:eastAsia="Lexend Light" w:hAnsi="Lexend Light"/>
          <w:color w:val="434343"/>
          <w:sz w:val="18"/>
          <w:szCs w:val="18"/>
          <w:rtl w:val="0"/>
        </w:rPr>
        <w:t xml:space="preserve">, reduce risk of service downtime</w:t>
      </w:r>
    </w:p>
    <w:p w:rsidR="00000000" w:rsidDel="00000000" w:rsidP="00000000" w:rsidRDefault="00000000" w:rsidRPr="00000000" w14:paraId="00000015">
      <w:pPr>
        <w:rPr>
          <w:rFonts w:ascii="Lexend Light" w:cs="Lexend Light" w:eastAsia="Lexend Light" w:hAnsi="Lexend Light"/>
        </w:rPr>
      </w:pPr>
      <w:r w:rsidDel="00000000" w:rsidR="00000000" w:rsidRPr="00000000">
        <w:rPr>
          <w:rtl w:val="0"/>
        </w:rPr>
      </w:r>
    </w:p>
    <w:tbl>
      <w:tblPr>
        <w:tblStyle w:val="Table4"/>
        <w:tblW w:w="1062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490"/>
        <w:tblGridChange w:id="0">
          <w:tblGrid>
            <w:gridCol w:w="5130"/>
            <w:gridCol w:w="5490"/>
          </w:tblGrid>
        </w:tblGridChange>
      </w:tblGrid>
      <w:tr>
        <w:trPr>
          <w:cantSplit w:val="0"/>
          <w:trHeight w:val="400" w:hRule="atLeast"/>
          <w:tblHeader w:val="0"/>
        </w:trPr>
        <w:tc>
          <w:tcPr>
            <w:gridSpan w:val="2"/>
            <w:tcBorders>
              <w:top w:color="ffec6e" w:space="0" w:sz="8" w:val="single"/>
              <w:left w:color="ffec6e" w:space="0" w:sz="8" w:val="single"/>
              <w:bottom w:color="faf2be" w:space="0" w:sz="8" w:val="single"/>
              <w:right w:color="ffec6e" w:space="0" w:sz="8" w:val="single"/>
            </w:tcBorders>
            <w:shd w:fill="ffec6e" w:val="clear"/>
            <w:tcMar>
              <w:top w:w="100.0" w:type="dxa"/>
              <w:left w:w="100.0" w:type="dxa"/>
              <w:bottom w:w="100.0" w:type="dxa"/>
              <w:right w:w="100.0" w:type="dxa"/>
            </w:tcMar>
            <w:vAlign w:val="top"/>
          </w:tcPr>
          <w:p w:rsidR="00000000" w:rsidDel="00000000" w:rsidP="00000000" w:rsidRDefault="00000000" w:rsidRPr="00000000" w14:paraId="00000016">
            <w:pPr>
              <w:rPr>
                <w:rFonts w:ascii="Lexend Medium" w:cs="Lexend Medium" w:eastAsia="Lexend Medium" w:hAnsi="Lexend Medium"/>
                <w:sz w:val="20"/>
                <w:szCs w:val="20"/>
              </w:rPr>
            </w:pPr>
            <w:r w:rsidDel="00000000" w:rsidR="00000000" w:rsidRPr="00000000">
              <w:rPr>
                <w:rFonts w:ascii="Lexend Medium" w:cs="Lexend Medium" w:eastAsia="Lexend Medium" w:hAnsi="Lexend Medium"/>
                <w:sz w:val="20"/>
                <w:szCs w:val="20"/>
                <w:rtl w:val="0"/>
              </w:rPr>
              <w:t xml:space="preserve">Resources</w:t>
            </w:r>
          </w:p>
        </w:tc>
      </w:tr>
      <w:tr>
        <w:trPr>
          <w:cantSplit w:val="0"/>
          <w:tblHeader w:val="0"/>
        </w:trPr>
        <w:tc>
          <w:tcPr>
            <w:tcBorders>
              <w:top w:color="faf2be" w:space="0" w:sz="8" w:val="single"/>
              <w:left w:color="faf2be" w:space="0" w:sz="8" w:val="single"/>
              <w:bottom w:color="faf2be" w:space="0" w:sz="8" w:val="single"/>
              <w:right w:color="faf2be" w:space="0" w:sz="8" w:val="single"/>
            </w:tcBorders>
            <w:shd w:fill="faf2be"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1st Call Deck (Pitch Deck) - for AM</w:t>
            </w:r>
          </w:p>
          <w:p w:rsidR="00000000" w:rsidDel="00000000" w:rsidP="00000000" w:rsidRDefault="00000000" w:rsidRPr="00000000" w14:paraId="00000019">
            <w:pPr>
              <w:numPr>
                <w:ilvl w:val="0"/>
                <w:numId w:val="1"/>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Discovery Guide</w:t>
            </w:r>
          </w:p>
          <w:p w:rsidR="00000000" w:rsidDel="00000000" w:rsidP="00000000" w:rsidRDefault="00000000" w:rsidRPr="00000000" w14:paraId="0000001A">
            <w:pPr>
              <w:numPr>
                <w:ilvl w:val="0"/>
                <w:numId w:val="1"/>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Objection Handling </w:t>
            </w:r>
            <w:r w:rsidDel="00000000" w:rsidR="00000000" w:rsidRPr="00000000">
              <w:rPr>
                <w:rFonts w:ascii="Lexend" w:cs="Lexend" w:eastAsia="Lexend" w:hAnsi="Lexend"/>
                <w:sz w:val="18"/>
                <w:szCs w:val="18"/>
                <w:rtl w:val="0"/>
              </w:rPr>
              <w:t xml:space="preserve">Guide</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2nd Call Deck (Technical) </w:t>
            </w:r>
          </w:p>
        </w:tc>
        <w:tc>
          <w:tcPr>
            <w:tcBorders>
              <w:top w:color="faf2be" w:space="0" w:sz="8" w:val="single"/>
              <w:left w:color="faf2be" w:space="0" w:sz="8" w:val="single"/>
              <w:bottom w:color="faf2be" w:space="0" w:sz="8" w:val="single"/>
              <w:right w:color="faf2be" w:space="0" w:sz="8" w:val="single"/>
            </w:tcBorders>
            <w:shd w:fill="faf2be" w:val="clear"/>
            <w:tcMar>
              <w:top w:w="100.0" w:type="dxa"/>
              <w:left w:w="100.0" w:type="dxa"/>
              <w:bottom w:w="100.0" w:type="dxa"/>
              <w:right w:w="100.0" w:type="dxa"/>
            </w:tcMar>
            <w:vAlign w:val="top"/>
          </w:tcPr>
          <w:p w:rsidR="00000000" w:rsidDel="00000000" w:rsidP="00000000" w:rsidRDefault="00000000" w:rsidRPr="00000000" w14:paraId="0000001C">
            <w:pPr>
              <w:numPr>
                <w:ilvl w:val="0"/>
                <w:numId w:val="2"/>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Demo</w:t>
            </w:r>
          </w:p>
          <w:p w:rsidR="00000000" w:rsidDel="00000000" w:rsidP="00000000" w:rsidRDefault="00000000" w:rsidRPr="00000000" w14:paraId="0000001D">
            <w:pPr>
              <w:numPr>
                <w:ilvl w:val="0"/>
                <w:numId w:val="2"/>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Workshop</w:t>
            </w:r>
          </w:p>
          <w:p w:rsidR="00000000" w:rsidDel="00000000" w:rsidP="00000000" w:rsidRDefault="00000000" w:rsidRPr="00000000" w14:paraId="0000001E">
            <w:pPr>
              <w:numPr>
                <w:ilvl w:val="0"/>
                <w:numId w:val="2"/>
              </w:numPr>
              <w:ind w:left="720" w:hanging="360"/>
              <w:rPr>
                <w:rFonts w:ascii="Lexend" w:cs="Lexend" w:eastAsia="Lexend" w:hAnsi="Lexend"/>
                <w:sz w:val="18"/>
                <w:szCs w:val="18"/>
              </w:rPr>
            </w:pPr>
            <w:r w:rsidDel="00000000" w:rsidR="00000000" w:rsidRPr="00000000">
              <w:rPr>
                <w:rFonts w:ascii="Lexend" w:cs="Lexend" w:eastAsia="Lexend" w:hAnsi="Lexend"/>
                <w:sz w:val="18"/>
                <w:szCs w:val="18"/>
                <w:rtl w:val="0"/>
              </w:rPr>
              <w:t xml:space="preserve">Deal Sizing Guide</w:t>
            </w:r>
            <w:r w:rsidDel="00000000" w:rsidR="00000000" w:rsidRPr="00000000">
              <w:rPr>
                <w:rFonts w:ascii="Lexend" w:cs="Lexend" w:eastAsia="Lexend" w:hAnsi="Lexend"/>
                <w:sz w:val="18"/>
                <w:szCs w:val="18"/>
                <w:rtl w:val="0"/>
              </w:rPr>
              <w:t xml:space="preserve"> </w:t>
            </w:r>
          </w:p>
        </w:tc>
      </w:tr>
    </w:tbl>
    <w:p w:rsidR="00000000" w:rsidDel="00000000" w:rsidP="00000000" w:rsidRDefault="00000000" w:rsidRPr="00000000" w14:paraId="0000001F">
      <w:pPr>
        <w:rPr>
          <w:rFonts w:ascii="Lexend Light" w:cs="Lexend Light" w:eastAsia="Lexend Light" w:hAnsi="Lexend Light"/>
          <w:i w:val="1"/>
          <w:sz w:val="14"/>
          <w:szCs w:val="1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y Baran" w:id="3" w:date="2025-02-03T14:08:2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what business function "Megaphone" serves? I immediately understand the impact of Starlink's outage but without context have no idea how substantial this was for Spotify.</w:t>
      </w:r>
    </w:p>
  </w:comment>
  <w:comment w:author="Justin DeFrank" w:id="4" w:date="2025-02-03T14:24:2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@andy.baran@hashicorp.com Megaphone is a SaaS service owned and operated by Spotify for the hosting, monetization, and overall management of podcasts. Not sure if someone wants to bake that feedback in.</w:t>
      </w:r>
    </w:p>
  </w:comment>
  <w:comment w:author="Adeel Ahmad" w:id="0" w:date="2025-01-24T21:52:0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reframe it as “customers who may be struggling with their current manual PKI process” or “customers who may have recently suffered an outage from expired TLS certificates”</w:t>
      </w:r>
    </w:p>
  </w:comment>
  <w:comment w:author="Troy Fluegge" w:id="1" w:date="2025-01-30T15:45:5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limit ourselves to either prospects that are "struggling" or "suffered an outage". The focus could be around application modernization, cloud native or microservice architectures, or improving their current security posture.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Andy Baran reacted with ➕ at 2025-02-03 06:05 AM</w:t>
      </w:r>
    </w:p>
  </w:comment>
  <w:comment w:author="Fiona Black" w:id="2" w:date="2025-02-04T10:52:27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@troy@hashicorp.com @justin.defrank@hashicorp.com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add or modify anything in the target personas overview? I am porting this content into the VPM template format and want to be sure I have the final content before marking this BOM item as ready for external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Lexend Medium">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widowControl w:val="0"/>
      <w:spacing w:line="240" w:lineRule="auto"/>
      <w:ind w:right="-720" w:firstLine="720"/>
      <w:jc w:val="right"/>
      <w:rPr>
        <w:b w:val="1"/>
        <w:sz w:val="16"/>
        <w:szCs w:val="16"/>
      </w:rPr>
    </w:pPr>
    <w:r w:rsidDel="00000000" w:rsidR="00000000" w:rsidRPr="00000000">
      <w:rPr>
        <w:b w:val="1"/>
        <w:sz w:val="16"/>
        <w:szCs w:val="16"/>
        <w:rtl w:val="0"/>
      </w:rPr>
      <w:t xml:space="preserve">Page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widowControl w:val="0"/>
      <w:spacing w:line="240" w:lineRule="auto"/>
      <w:ind w:right="-720" w:firstLine="720"/>
      <w:jc w:val="right"/>
      <w:rPr/>
    </w:pPr>
    <w:r w:rsidDel="00000000" w:rsidR="00000000" w:rsidRPr="00000000">
      <w:rPr>
        <w:b w:val="1"/>
        <w:sz w:val="16"/>
        <w:szCs w:val="16"/>
        <w:rtl w:val="0"/>
      </w:rPr>
      <w:t xml:space="preserve">  Sales One Pager </w:t>
    </w:r>
    <w:r w:rsidDel="00000000" w:rsidR="00000000" w:rsidRPr="00000000">
      <w:rPr>
        <w:sz w:val="16"/>
        <w:szCs w:val="16"/>
        <w:rtl w:val="0"/>
      </w:rPr>
      <w:t xml:space="preserve">/  Automatic Certificate Renewal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ind w:left="-540" w:firstLine="0"/>
      <w:rPr/>
    </w:pPr>
    <w:r w:rsidDel="00000000" w:rsidR="00000000" w:rsidRPr="00000000">
      <w:rPr>
        <w:rFonts w:ascii="Lexend SemiBold" w:cs="Lexend SemiBold" w:eastAsia="Lexend SemiBold" w:hAnsi="Lexend SemiBold"/>
        <w:sz w:val="44"/>
        <w:szCs w:val="44"/>
        <w:rtl w:val="0"/>
      </w:rPr>
      <w:t xml:space="preserve">Machine Identity and Trust</w:t>
    </w:r>
    <w:r w:rsidDel="00000000" w:rsidR="00000000" w:rsidRPr="00000000">
      <w:rPr>
        <w:b w:val="1"/>
        <w:rtl w:val="0"/>
      </w:rPr>
      <w:br w:type="textWrapping"/>
    </w:r>
    <w:r w:rsidDel="00000000" w:rsidR="00000000" w:rsidRPr="00000000">
      <w:rPr>
        <w:sz w:val="28"/>
        <w:szCs w:val="28"/>
        <w:rtl w:val="0"/>
      </w:rPr>
      <w:t xml:space="preserve">Automated Certificate Renewal </w:t>
    </w:r>
    <w:r w:rsidDel="00000000" w:rsidR="00000000" w:rsidRPr="00000000">
      <w:rPr>
        <w:b w:val="1"/>
        <w:sz w:val="26"/>
        <w:szCs w:val="26"/>
        <w:rtl w:val="0"/>
      </w:rPr>
      <w:tab/>
    </w:r>
    <w:r w:rsidDel="00000000" w:rsidR="00000000" w:rsidRPr="00000000">
      <w:rPr>
        <w:b w:val="1"/>
        <w:rtl w:val="0"/>
      </w:rPr>
      <w:tab/>
      <w:tab/>
      <w:tab/>
      <w:tab/>
      <w:t xml:space="preserve">               </w:t>
    </w:r>
    <w:r w:rsidDel="00000000" w:rsidR="00000000" w:rsidRPr="00000000">
      <w:rPr>
        <w:rFonts w:ascii="Lexend" w:cs="Lexend" w:eastAsia="Lexend" w:hAnsi="Lexend"/>
        <w:color w:val="666666"/>
        <w:sz w:val="24"/>
        <w:szCs w:val="24"/>
        <w:rtl w:val="0"/>
      </w:rPr>
      <w:t xml:space="preserve">Sales One Pager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9526</wp:posOffset>
          </wp:positionV>
          <wp:extent cx="1538868" cy="3286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868" cy="328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5" Type="http://schemas.openxmlformats.org/officeDocument/2006/relationships/font" Target="fonts/LexendMedium-regular.ttf"/><Relationship Id="rId6" Type="http://schemas.openxmlformats.org/officeDocument/2006/relationships/font" Target="fonts/LexendMedium-bold.ttf"/><Relationship Id="rId7" Type="http://schemas.openxmlformats.org/officeDocument/2006/relationships/font" Target="fonts/Lexend-regular.ttf"/><Relationship Id="rId8"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