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ind w:left="-540" w:firstLine="0"/>
        <w:rPr>
          <w:rFonts w:ascii="Lexend Light" w:cs="Lexend Light" w:eastAsia="Lexend Light" w:hAnsi="Lexend Light"/>
          <w:sz w:val="14"/>
          <w:szCs w:val="14"/>
        </w:rPr>
      </w:pPr>
      <w:r w:rsidDel="00000000" w:rsidR="00000000" w:rsidRPr="00000000">
        <w:rPr>
          <w:rtl w:val="0"/>
        </w:rPr>
      </w:r>
    </w:p>
    <w:tbl>
      <w:tblPr>
        <w:tblStyle w:val="Table1"/>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74ea7" w:val="clear"/>
            <w:tcMar>
              <w:top w:w="100.0" w:type="dxa"/>
              <w:left w:w="100.0" w:type="dxa"/>
              <w:bottom w:w="100.0" w:type="dxa"/>
              <w:right w:w="100.0" w:type="dxa"/>
            </w:tcMar>
            <w:vAlign w:val="top"/>
          </w:tcPr>
          <w:p w:rsidR="00000000" w:rsidDel="00000000" w:rsidP="00000000" w:rsidRDefault="00000000" w:rsidRPr="00000000" w14:paraId="00000002">
            <w:pPr>
              <w:ind w:right="-750"/>
              <w:rPr>
                <w:rFonts w:ascii="Lexend Medium" w:cs="Lexend Medium" w:eastAsia="Lexend Medium" w:hAnsi="Lexend Medium"/>
                <w:color w:val="f3f3f3"/>
                <w:sz w:val="20"/>
                <w:szCs w:val="20"/>
              </w:rPr>
            </w:pPr>
            <w:r w:rsidDel="00000000" w:rsidR="00000000" w:rsidRPr="00000000">
              <w:rPr>
                <w:rFonts w:ascii="Lexend Medium" w:cs="Lexend Medium" w:eastAsia="Lexend Medium" w:hAnsi="Lexend Medium"/>
                <w:color w:val="f3f3f3"/>
                <w:sz w:val="20"/>
                <w:szCs w:val="20"/>
                <w:rtl w:val="0"/>
              </w:rPr>
              <w:t xml:space="preserve">Target Profile</w:t>
            </w:r>
          </w:p>
        </w:tc>
      </w:tr>
    </w:tbl>
    <w:p w:rsidR="00000000" w:rsidDel="00000000" w:rsidP="00000000" w:rsidRDefault="00000000" w:rsidRPr="00000000" w14:paraId="00000003">
      <w:pPr>
        <w:numPr>
          <w:ilvl w:val="0"/>
          <w:numId w:val="2"/>
        </w:numPr>
        <w:spacing w:after="0" w:afterAutospacing="0" w:before="200" w:lineRule="auto"/>
        <w:ind w:left="-180" w:hanging="36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New prospect with limited Cloud Experience</w:t>
      </w:r>
    </w:p>
    <w:p w:rsidR="00000000" w:rsidDel="00000000" w:rsidP="00000000" w:rsidRDefault="00000000" w:rsidRPr="00000000" w14:paraId="00000004">
      <w:pPr>
        <w:numPr>
          <w:ilvl w:val="0"/>
          <w:numId w:val="2"/>
        </w:numPr>
        <w:spacing w:after="0" w:afterAutospacing="0" w:before="0" w:beforeAutospacing="0" w:lineRule="auto"/>
        <w:ind w:left="-180" w:hanging="36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New prospect with extensive Cloud Experience but using CE/Native tooling/Scaffolding/Competitor </w:t>
      </w:r>
    </w:p>
    <w:p w:rsidR="00000000" w:rsidDel="00000000" w:rsidP="00000000" w:rsidRDefault="00000000" w:rsidRPr="00000000" w14:paraId="00000005">
      <w:pPr>
        <w:numPr>
          <w:ilvl w:val="0"/>
          <w:numId w:val="2"/>
        </w:numPr>
        <w:spacing w:after="0" w:afterAutospacing="0" w:before="0" w:beforeAutospacing="0" w:lineRule="auto"/>
        <w:ind w:left="-180" w:right="-540" w:hanging="36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Customer with established HCP Terraform in silos but not adopted as a shared service</w:t>
      </w:r>
    </w:p>
    <w:p w:rsidR="00000000" w:rsidDel="00000000" w:rsidP="00000000" w:rsidRDefault="00000000" w:rsidRPr="00000000" w14:paraId="00000006">
      <w:pPr>
        <w:numPr>
          <w:ilvl w:val="0"/>
          <w:numId w:val="2"/>
        </w:numPr>
        <w:spacing w:before="0" w:beforeAutospacing="0" w:lineRule="auto"/>
        <w:ind w:left="-180" w:hanging="36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Customer using a subset of enterprise features in Terraform and not realising full extent of business value</w:t>
      </w:r>
      <w:r w:rsidDel="00000000" w:rsidR="00000000" w:rsidRPr="00000000">
        <w:rPr>
          <w:rtl w:val="0"/>
        </w:rPr>
      </w:r>
    </w:p>
    <w:p w:rsidR="00000000" w:rsidDel="00000000" w:rsidP="00000000" w:rsidRDefault="00000000" w:rsidRPr="00000000" w14:paraId="00000007">
      <w:pPr>
        <w:ind w:left="-450" w:right="-540" w:firstLine="0"/>
        <w:rPr>
          <w:rFonts w:ascii="Roboto" w:cs="Roboto" w:eastAsia="Roboto" w:hAnsi="Roboto"/>
          <w:b w:val="1"/>
          <w:color w:val="cc0000"/>
          <w:sz w:val="18"/>
          <w:szCs w:val="18"/>
        </w:rPr>
      </w:pPr>
      <w:r w:rsidDel="00000000" w:rsidR="00000000" w:rsidRPr="00000000">
        <w:rPr>
          <w:rtl w:val="0"/>
        </w:rPr>
      </w:r>
    </w:p>
    <w:tbl>
      <w:tblPr>
        <w:tblStyle w:val="Table2"/>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74ea7" w:val="clear"/>
            <w:tcMar>
              <w:top w:w="100.0" w:type="dxa"/>
              <w:left w:w="100.0" w:type="dxa"/>
              <w:bottom w:w="100.0" w:type="dxa"/>
              <w:right w:w="100.0" w:type="dxa"/>
            </w:tcMar>
            <w:vAlign w:val="top"/>
          </w:tcPr>
          <w:p w:rsidR="00000000" w:rsidDel="00000000" w:rsidP="00000000" w:rsidRDefault="00000000" w:rsidRPr="00000000" w14:paraId="00000008">
            <w:pPr>
              <w:ind w:right="-750"/>
              <w:rPr>
                <w:rFonts w:ascii="Lexend Medium" w:cs="Lexend Medium" w:eastAsia="Lexend Medium" w:hAnsi="Lexend Medium"/>
                <w:color w:val="f3f3f3"/>
                <w:sz w:val="20"/>
                <w:szCs w:val="20"/>
              </w:rPr>
            </w:pPr>
            <w:r w:rsidDel="00000000" w:rsidR="00000000" w:rsidRPr="00000000">
              <w:rPr>
                <w:rFonts w:ascii="Lexend Medium" w:cs="Lexend Medium" w:eastAsia="Lexend Medium" w:hAnsi="Lexend Medium"/>
                <w:color w:val="f3f3f3"/>
                <w:sz w:val="20"/>
                <w:szCs w:val="20"/>
                <w:rtl w:val="0"/>
              </w:rPr>
              <w:t xml:space="preserve">Definition &amp; Strategic Vision</w:t>
            </w:r>
          </w:p>
        </w:tc>
      </w:tr>
    </w:tbl>
    <w:p w:rsidR="00000000" w:rsidDel="00000000" w:rsidP="00000000" w:rsidRDefault="00000000" w:rsidRPr="00000000" w14:paraId="00000009">
      <w:pPr>
        <w:spacing w:before="200" w:lineRule="auto"/>
        <w:ind w:left="-540" w:right="-540" w:firstLine="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As enterprises deploy and manage infrastructure across diverse environments—including on-premises data centers, private clouds, and public cloud providers—fragmented silos emerge, increasing operational complexity and slowing innovation. By introducing a cloud-agnostic control plane, teams gain:</w:t>
      </w:r>
    </w:p>
    <w:p w:rsidR="00000000" w:rsidDel="00000000" w:rsidP="00000000" w:rsidRDefault="00000000" w:rsidRPr="00000000" w14:paraId="0000000A">
      <w:pPr>
        <w:numPr>
          <w:ilvl w:val="0"/>
          <w:numId w:val="4"/>
        </w:numPr>
        <w:spacing w:after="0" w:afterAutospacing="0" w:before="240" w:lineRule="auto"/>
        <w:ind w:left="-180" w:right="-540" w:hanging="360"/>
        <w:rPr>
          <w:rFonts w:ascii="Lexend Light" w:cs="Lexend Light" w:eastAsia="Lexend Light" w:hAnsi="Lexend Light"/>
          <w:sz w:val="20"/>
          <w:szCs w:val="20"/>
          <w:u w:val="none"/>
        </w:rPr>
      </w:pPr>
      <w:r w:rsidDel="00000000" w:rsidR="00000000" w:rsidRPr="00000000">
        <w:rPr>
          <w:rFonts w:ascii="Lexend Light" w:cs="Lexend Light" w:eastAsia="Lexend Light" w:hAnsi="Lexend Light"/>
          <w:b w:val="1"/>
          <w:sz w:val="20"/>
          <w:szCs w:val="20"/>
          <w:rtl w:val="0"/>
        </w:rPr>
        <w:t xml:space="preserve">Consistency</w:t>
      </w:r>
      <w:r w:rsidDel="00000000" w:rsidR="00000000" w:rsidRPr="00000000">
        <w:rPr>
          <w:rFonts w:ascii="Lexend Light" w:cs="Lexend Light" w:eastAsia="Lexend Light" w:hAnsi="Lexend Light"/>
          <w:sz w:val="20"/>
          <w:szCs w:val="20"/>
          <w:rtl w:val="0"/>
        </w:rPr>
        <w:t xml:space="preserve"> – Common workflows and tooling across on-prem, private, and public clouds.</w:t>
      </w:r>
    </w:p>
    <w:p w:rsidR="00000000" w:rsidDel="00000000" w:rsidP="00000000" w:rsidRDefault="00000000" w:rsidRPr="00000000" w14:paraId="0000000B">
      <w:pPr>
        <w:numPr>
          <w:ilvl w:val="0"/>
          <w:numId w:val="4"/>
        </w:numPr>
        <w:spacing w:after="0" w:afterAutospacing="0" w:before="0" w:beforeAutospacing="0" w:lineRule="auto"/>
        <w:ind w:left="-180" w:right="-540" w:hanging="360"/>
        <w:rPr>
          <w:rFonts w:ascii="Lexend Light" w:cs="Lexend Light" w:eastAsia="Lexend Light" w:hAnsi="Lexend Light"/>
          <w:sz w:val="20"/>
          <w:szCs w:val="20"/>
          <w:u w:val="none"/>
        </w:rPr>
      </w:pPr>
      <w:r w:rsidDel="00000000" w:rsidR="00000000" w:rsidRPr="00000000">
        <w:rPr>
          <w:rFonts w:ascii="Lexend Light" w:cs="Lexend Light" w:eastAsia="Lexend Light" w:hAnsi="Lexend Light"/>
          <w:b w:val="1"/>
          <w:sz w:val="20"/>
          <w:szCs w:val="20"/>
          <w:rtl w:val="0"/>
        </w:rPr>
        <w:t xml:space="preserve">Governance</w:t>
      </w:r>
      <w:r w:rsidDel="00000000" w:rsidR="00000000" w:rsidRPr="00000000">
        <w:rPr>
          <w:rFonts w:ascii="Lexend Light" w:cs="Lexend Light" w:eastAsia="Lexend Light" w:hAnsi="Lexend Light"/>
          <w:sz w:val="20"/>
          <w:szCs w:val="20"/>
          <w:rtl w:val="0"/>
        </w:rPr>
        <w:t xml:space="preserve"> – Centralized policy enforcement and compliance, eliminating drift and configuration sprawl.</w:t>
      </w:r>
    </w:p>
    <w:p w:rsidR="00000000" w:rsidDel="00000000" w:rsidP="00000000" w:rsidRDefault="00000000" w:rsidRPr="00000000" w14:paraId="0000000C">
      <w:pPr>
        <w:numPr>
          <w:ilvl w:val="0"/>
          <w:numId w:val="4"/>
        </w:numPr>
        <w:spacing w:after="240" w:before="0" w:beforeAutospacing="0" w:lineRule="auto"/>
        <w:ind w:left="-180" w:right="-540" w:hanging="360"/>
        <w:rPr>
          <w:rFonts w:ascii="Lexend Light" w:cs="Lexend Light" w:eastAsia="Lexend Light" w:hAnsi="Lexend Light"/>
          <w:sz w:val="20"/>
          <w:szCs w:val="20"/>
          <w:u w:val="none"/>
        </w:rPr>
      </w:pPr>
      <w:r w:rsidDel="00000000" w:rsidR="00000000" w:rsidRPr="00000000">
        <w:rPr>
          <w:rFonts w:ascii="Lexend Light" w:cs="Lexend Light" w:eastAsia="Lexend Light" w:hAnsi="Lexend Light"/>
          <w:b w:val="1"/>
          <w:sz w:val="20"/>
          <w:szCs w:val="20"/>
          <w:rtl w:val="0"/>
        </w:rPr>
        <w:t xml:space="preserve">Visibility</w:t>
      </w:r>
      <w:r w:rsidDel="00000000" w:rsidR="00000000" w:rsidRPr="00000000">
        <w:rPr>
          <w:rFonts w:ascii="Lexend Light" w:cs="Lexend Light" w:eastAsia="Lexend Light" w:hAnsi="Lexend Light"/>
          <w:sz w:val="20"/>
          <w:szCs w:val="20"/>
          <w:rtl w:val="0"/>
        </w:rPr>
        <w:t xml:space="preserve"> – Single point of insight into resource usage and health, ensuring optimal performance and cost management.</w:t>
      </w:r>
      <w:r w:rsidDel="00000000" w:rsidR="00000000" w:rsidRPr="00000000">
        <w:rPr>
          <w:rtl w:val="0"/>
        </w:rPr>
      </w:r>
    </w:p>
    <w:p w:rsidR="00000000" w:rsidDel="00000000" w:rsidP="00000000" w:rsidRDefault="00000000" w:rsidRPr="00000000" w14:paraId="0000000D">
      <w:pPr>
        <w:spacing w:before="200" w:lineRule="auto"/>
        <w:ind w:left="-540" w:right="-540" w:firstLine="0"/>
        <w:rPr>
          <w:sz w:val="20"/>
          <w:szCs w:val="20"/>
        </w:rPr>
      </w:pPr>
      <w:r w:rsidDel="00000000" w:rsidR="00000000" w:rsidRPr="00000000">
        <w:rPr>
          <w:rFonts w:ascii="Lexend" w:cs="Lexend" w:eastAsia="Lexend" w:hAnsi="Lexend"/>
          <w:b w:val="1"/>
          <w:sz w:val="20"/>
          <w:szCs w:val="20"/>
          <w:rtl w:val="0"/>
        </w:rPr>
        <w:t xml:space="preserve">Cloud Foundations: </w:t>
      </w:r>
      <w:r w:rsidDel="00000000" w:rsidR="00000000" w:rsidRPr="00000000">
        <w:rPr>
          <w:rFonts w:ascii="Lexend Light" w:cs="Lexend Light" w:eastAsia="Lexend Light" w:hAnsi="Lexend Light"/>
          <w:sz w:val="20"/>
          <w:szCs w:val="20"/>
          <w:rtl w:val="0"/>
        </w:rPr>
        <w:t xml:space="preserve">Establishing a true hybrid cloud automation platform enables a wide range of use cases for the customer, which can be overwhelming at first. We propose selling “Cloud Foundations” to establish core integrations and essential workflows. Cloud Foundations</w:t>
      </w:r>
      <w:commentRangeStart w:id="0"/>
      <w:commentRangeStart w:id="1"/>
      <w:r w:rsidDel="00000000" w:rsidR="00000000" w:rsidRPr="00000000">
        <w:rPr>
          <w:rFonts w:ascii="Lexend Light" w:cs="Lexend Light" w:eastAsia="Lexend Light" w:hAnsi="Lexend Light"/>
          <w:sz w:val="20"/>
          <w:szCs w:val="20"/>
          <w:rtl w:val="0"/>
        </w:rPr>
        <w:t xml:space="preserve"> is powered by HCP Terraform, the industry-standard Infrastructure as Code (IaC) platform, which automates the entire provisioning workflow and enforces consistent practices across all infrastructure endpoints. As the cornerstone solution, it enables additional use cases that deliver significant, tangible value to customers.</w:t>
        <w:br w:type="textWrapp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bl>
      <w:tblPr>
        <w:tblStyle w:val="Table3"/>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74ea7" w:val="clear"/>
            <w:tcMar>
              <w:top w:w="100.0" w:type="dxa"/>
              <w:left w:w="100.0" w:type="dxa"/>
              <w:bottom w:w="100.0" w:type="dxa"/>
              <w:right w:w="100.0" w:type="dxa"/>
            </w:tcMar>
            <w:vAlign w:val="top"/>
          </w:tcPr>
          <w:p w:rsidR="00000000" w:rsidDel="00000000" w:rsidP="00000000" w:rsidRDefault="00000000" w:rsidRPr="00000000" w14:paraId="0000000E">
            <w:pPr>
              <w:spacing w:before="0" w:lineRule="auto"/>
              <w:ind w:right="-750"/>
              <w:rPr>
                <w:rFonts w:ascii="Lexend Medium" w:cs="Lexend Medium" w:eastAsia="Lexend Medium" w:hAnsi="Lexend Medium"/>
                <w:color w:val="f3f3f3"/>
                <w:sz w:val="20"/>
                <w:szCs w:val="20"/>
              </w:rPr>
            </w:pPr>
            <w:commentRangeStart w:id="2"/>
            <w:commentRangeStart w:id="3"/>
            <w:r w:rsidDel="00000000" w:rsidR="00000000" w:rsidRPr="00000000">
              <w:rPr>
                <w:rFonts w:ascii="Lexend Medium" w:cs="Lexend Medium" w:eastAsia="Lexend Medium" w:hAnsi="Lexend Medium"/>
                <w:color w:val="f3f3f3"/>
                <w:sz w:val="20"/>
                <w:szCs w:val="20"/>
                <w:rtl w:val="0"/>
              </w:rPr>
              <w:t xml:space="preserve">Customer Problem Statement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0F">
      <w:pPr>
        <w:spacing w:before="200" w:lineRule="auto"/>
        <w:ind w:left="-540" w:firstLine="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As an organization's cloud adoption grows, managing and provisioning infrastructure at scale becomes increasingly complex. Many face challenges like uncontrolled cloud sprawl, where teams independently adopt one or more cloud providers without a cohesive strategy. This ad-hoc cloud adoption leads to inconsistent architectures, heightened security risks, reduced productivity and mounting technical debt.</w:t>
      </w:r>
    </w:p>
    <w:p w:rsidR="00000000" w:rsidDel="00000000" w:rsidP="00000000" w:rsidRDefault="00000000" w:rsidRPr="00000000" w14:paraId="00000010">
      <w:pPr>
        <w:spacing w:before="200" w:lineRule="auto"/>
        <w:ind w:left="-540" w:firstLine="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Customers start with leveraging Terraform CE (in some cases there will be pockets with Cloudformation/ARM and other competitors such as crossplane) with scaffolding or embedded into CI/CD pipelines in most cases. Very soon customers realize that the scaffolding they have created puts them in a tough situation where end users do not experience the agility and the platform team is struggling to manage costs and enforce guardrails.</w:t>
      </w:r>
    </w:p>
    <w:p w:rsidR="00000000" w:rsidDel="00000000" w:rsidP="00000000" w:rsidRDefault="00000000" w:rsidRPr="00000000" w14:paraId="00000011">
      <w:pPr>
        <w:spacing w:before="200" w:lineRule="auto"/>
        <w:ind w:left="-540" w:firstLine="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There are also cases where “unicorn</w:t>
      </w:r>
      <w:r w:rsidDel="00000000" w:rsidR="00000000" w:rsidRPr="00000000">
        <w:rPr>
          <w:rFonts w:ascii="Lexend Light" w:cs="Lexend Light" w:eastAsia="Lexend Light" w:hAnsi="Lexend Light"/>
          <w:sz w:val="20"/>
          <w:szCs w:val="20"/>
          <w:vertAlign w:val="superscript"/>
        </w:rPr>
        <w:footnoteReference w:customMarkFollows="0" w:id="0"/>
      </w:r>
      <w:r w:rsidDel="00000000" w:rsidR="00000000" w:rsidRPr="00000000">
        <w:rPr>
          <w:rFonts w:ascii="Lexend Light" w:cs="Lexend Light" w:eastAsia="Lexend Light" w:hAnsi="Lexend Light"/>
          <w:sz w:val="20"/>
          <w:szCs w:val="20"/>
          <w:rtl w:val="0"/>
        </w:rPr>
        <w:t xml:space="preserve">” engineers have built very good scaffolding - that they are proud of their work - but on deeper analysis has a number of security and operational deficiencies. </w:t>
      </w:r>
    </w:p>
    <w:p w:rsidR="00000000" w:rsidDel="00000000" w:rsidP="00000000" w:rsidRDefault="00000000" w:rsidRPr="00000000" w14:paraId="00000012">
      <w:pPr>
        <w:spacing w:before="200" w:lineRule="auto"/>
        <w:ind w:left="-540" w:firstLine="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Key concerns for customers</w:t>
      </w:r>
    </w:p>
    <w:tbl>
      <w:tblPr>
        <w:tblStyle w:val="Table4"/>
        <w:tblW w:w="987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915"/>
        <w:tblGridChange w:id="0">
          <w:tblGrid>
            <w:gridCol w:w="2955"/>
            <w:gridCol w:w="6915"/>
          </w:tblGrid>
        </w:tblGridChange>
      </w:tblGrid>
      <w:tr>
        <w:trPr>
          <w:cantSplit w:val="0"/>
          <w:trHeight w:val="368.74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sz w:val="20"/>
                <w:szCs w:val="20"/>
              </w:rPr>
            </w:pPr>
            <w:r w:rsidDel="00000000" w:rsidR="00000000" w:rsidRPr="00000000">
              <w:rPr>
                <w:sz w:val="20"/>
                <w:szCs w:val="20"/>
                <w:rtl w:val="0"/>
              </w:rPr>
              <w:t xml:space="preserve">Security and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sz w:val="20"/>
                <w:szCs w:val="20"/>
              </w:rPr>
            </w:pPr>
            <w:r w:rsidDel="00000000" w:rsidR="00000000" w:rsidRPr="00000000">
              <w:rPr>
                <w:sz w:val="20"/>
                <w:szCs w:val="20"/>
                <w:rtl w:val="0"/>
              </w:rPr>
              <w:t xml:space="preserve">Ensuring data security and adhering to industry-specific regulations like HIPAA or GDPR when moving to the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Vendor Lock-in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Becoming overly reliant on a single cloud provider, making it difficult to switch or negotiate better terms</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Governance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Establishing clear policies and procedures to manage access, security, and compliance across the cloud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sz w:val="20"/>
                <w:szCs w:val="20"/>
              </w:rPr>
            </w:pPr>
            <w:r w:rsidDel="00000000" w:rsidR="00000000" w:rsidRPr="00000000">
              <w:rPr>
                <w:sz w:val="20"/>
                <w:szCs w:val="20"/>
                <w:rtl w:val="0"/>
              </w:rPr>
              <w:t xml:space="preserve">Compliance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sz w:val="20"/>
                <w:szCs w:val="20"/>
              </w:rPr>
            </w:pPr>
            <w:r w:rsidDel="00000000" w:rsidR="00000000" w:rsidRPr="00000000">
              <w:rPr>
                <w:sz w:val="20"/>
                <w:szCs w:val="20"/>
                <w:rtl w:val="0"/>
              </w:rPr>
              <w:t xml:space="preserve">Navigating different regional data privacy laws when storing data in the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Cost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Difficulty in accurately tracking and optimizing cloud spending to avoid unexpected costs.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Lack of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Difficulty in monitoring and understanding cloud usage, potentially leading to security risks.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Multi-Cloud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Managing applications across different cloud providers, creating additional complexity.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Skills 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Lack of internal expertise to effectively manage cloud operations and migrate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Data Migration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Challenges in transferring large volumes of data to the cloud while maintaining integrity and accessibility</w:t>
            </w:r>
          </w:p>
        </w:tc>
      </w:tr>
    </w:tbl>
    <w:p w:rsidR="00000000" w:rsidDel="00000000" w:rsidP="00000000" w:rsidRDefault="00000000" w:rsidRPr="00000000" w14:paraId="00000025">
      <w:pPr>
        <w:spacing w:before="200" w:lineRule="auto"/>
        <w:ind w:left="0" w:firstLine="0"/>
        <w:rPr>
          <w:rFonts w:ascii="Lexend Light" w:cs="Lexend Light" w:eastAsia="Lexend Light" w:hAnsi="Lexend Light"/>
          <w:sz w:val="18"/>
          <w:szCs w:val="18"/>
        </w:rPr>
      </w:pPr>
      <w:r w:rsidDel="00000000" w:rsidR="00000000" w:rsidRPr="00000000">
        <w:rPr>
          <w:rtl w:val="0"/>
        </w:rPr>
      </w:r>
    </w:p>
    <w:tbl>
      <w:tblPr>
        <w:tblStyle w:val="Table5"/>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74ea7" w:val="clear"/>
            <w:tcMar>
              <w:top w:w="100.0" w:type="dxa"/>
              <w:left w:w="100.0" w:type="dxa"/>
              <w:bottom w:w="100.0" w:type="dxa"/>
              <w:right w:w="100.0" w:type="dxa"/>
            </w:tcMar>
            <w:vAlign w:val="top"/>
          </w:tcPr>
          <w:p w:rsidR="00000000" w:rsidDel="00000000" w:rsidP="00000000" w:rsidRDefault="00000000" w:rsidRPr="00000000" w14:paraId="00000026">
            <w:pPr>
              <w:spacing w:before="0" w:lineRule="auto"/>
              <w:ind w:right="-750"/>
              <w:rPr>
                <w:rFonts w:ascii="Lexend Medium" w:cs="Lexend Medium" w:eastAsia="Lexend Medium" w:hAnsi="Lexend Medium"/>
                <w:color w:val="f3f3f3"/>
                <w:sz w:val="20"/>
                <w:szCs w:val="20"/>
              </w:rPr>
            </w:pPr>
            <w:r w:rsidDel="00000000" w:rsidR="00000000" w:rsidRPr="00000000">
              <w:rPr>
                <w:rFonts w:ascii="Lexend Medium" w:cs="Lexend Medium" w:eastAsia="Lexend Medium" w:hAnsi="Lexend Medium"/>
                <w:color w:val="f3f3f3"/>
                <w:sz w:val="20"/>
                <w:szCs w:val="20"/>
                <w:rtl w:val="0"/>
              </w:rPr>
              <w:t xml:space="preserve">Sales Problem Statement</w:t>
            </w:r>
          </w:p>
        </w:tc>
      </w:tr>
    </w:tbl>
    <w:p w:rsidR="00000000" w:rsidDel="00000000" w:rsidP="00000000" w:rsidRDefault="00000000" w:rsidRPr="00000000" w14:paraId="00000027">
      <w:pPr>
        <w:numPr>
          <w:ilvl w:val="0"/>
          <w:numId w:val="1"/>
        </w:numPr>
        <w:spacing w:after="0" w:afterAutospacing="0" w:before="200" w:lineRule="auto"/>
        <w:ind w:left="-180" w:hanging="36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Effort to land Terraform deals</w:t>
      </w:r>
    </w:p>
    <w:p w:rsidR="00000000" w:rsidDel="00000000" w:rsidP="00000000" w:rsidRDefault="00000000" w:rsidRPr="00000000" w14:paraId="00000028">
      <w:pPr>
        <w:numPr>
          <w:ilvl w:val="1"/>
          <w:numId w:val="1"/>
        </w:numPr>
        <w:spacing w:after="0" w:afterAutospacing="0" w:before="0" w:beforeAutospacing="0" w:lineRule="auto"/>
        <w:ind w:left="90" w:hanging="360"/>
        <w:rPr>
          <w:rFonts w:ascii="Lexend Light" w:cs="Lexend Light" w:eastAsia="Lexend Light" w:hAnsi="Lexend Light"/>
          <w:sz w:val="20"/>
          <w:szCs w:val="20"/>
          <w:u w:val="none"/>
        </w:rPr>
      </w:pPr>
      <w:r w:rsidDel="00000000" w:rsidR="00000000" w:rsidRPr="00000000">
        <w:rPr>
          <w:rFonts w:ascii="Lexend Light" w:cs="Lexend Light" w:eastAsia="Lexend Light" w:hAnsi="Lexend Light"/>
          <w:sz w:val="20"/>
          <w:szCs w:val="20"/>
          <w:rtl w:val="0"/>
        </w:rPr>
        <w:t xml:space="preserve">Sales motion is expensive for HashiCorp</w:t>
      </w:r>
    </w:p>
    <w:p w:rsidR="00000000" w:rsidDel="00000000" w:rsidP="00000000" w:rsidRDefault="00000000" w:rsidRPr="00000000" w14:paraId="00000029">
      <w:pPr>
        <w:numPr>
          <w:ilvl w:val="0"/>
          <w:numId w:val="1"/>
        </w:numPr>
        <w:spacing w:after="0" w:afterAutospacing="0" w:before="0" w:beforeAutospacing="0" w:lineRule="auto"/>
        <w:ind w:left="-180" w:hanging="36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Customers “satisfied” with scaffolding built around TF CE</w:t>
      </w:r>
    </w:p>
    <w:p w:rsidR="00000000" w:rsidDel="00000000" w:rsidP="00000000" w:rsidRDefault="00000000" w:rsidRPr="00000000" w14:paraId="0000002A">
      <w:pPr>
        <w:numPr>
          <w:ilvl w:val="1"/>
          <w:numId w:val="1"/>
        </w:numPr>
        <w:spacing w:after="0" w:afterAutospacing="0" w:before="0" w:beforeAutospacing="0" w:lineRule="auto"/>
        <w:ind w:left="90" w:hanging="36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Not understanding the value of enterprise</w:t>
      </w:r>
    </w:p>
    <w:p w:rsidR="00000000" w:rsidDel="00000000" w:rsidP="00000000" w:rsidRDefault="00000000" w:rsidRPr="00000000" w14:paraId="0000002B">
      <w:pPr>
        <w:numPr>
          <w:ilvl w:val="0"/>
          <w:numId w:val="1"/>
        </w:numPr>
        <w:spacing w:after="0" w:afterAutospacing="0" w:before="0" w:beforeAutospacing="0" w:lineRule="auto"/>
        <w:ind w:left="-180" w:hanging="360"/>
        <w:rPr>
          <w:rFonts w:ascii="Lexend Light" w:cs="Lexend Light" w:eastAsia="Lexend Light" w:hAnsi="Lexend Light"/>
          <w:sz w:val="20"/>
          <w:szCs w:val="20"/>
        </w:rPr>
      </w:pPr>
      <w:r w:rsidDel="00000000" w:rsidR="00000000" w:rsidRPr="00000000">
        <w:rPr>
          <w:rFonts w:ascii="Lexend Light" w:cs="Lexend Light" w:eastAsia="Lexend Light" w:hAnsi="Lexend Light"/>
          <w:sz w:val="20"/>
          <w:szCs w:val="20"/>
          <w:rtl w:val="0"/>
        </w:rPr>
        <w:t xml:space="preserve">Post Sale</w:t>
      </w:r>
    </w:p>
    <w:p w:rsidR="00000000" w:rsidDel="00000000" w:rsidP="00000000" w:rsidRDefault="00000000" w:rsidRPr="00000000" w14:paraId="0000002C">
      <w:pPr>
        <w:numPr>
          <w:ilvl w:val="1"/>
          <w:numId w:val="1"/>
        </w:numPr>
        <w:spacing w:after="0" w:afterAutospacing="0" w:before="0" w:beforeAutospacing="0" w:lineRule="auto"/>
        <w:ind w:left="90" w:hanging="360"/>
        <w:rPr>
          <w:rFonts w:ascii="Lexend Light" w:cs="Lexend Light" w:eastAsia="Lexend Light" w:hAnsi="Lexend Light"/>
          <w:sz w:val="20"/>
          <w:szCs w:val="20"/>
          <w:u w:val="none"/>
        </w:rPr>
      </w:pPr>
      <w:r w:rsidDel="00000000" w:rsidR="00000000" w:rsidRPr="00000000">
        <w:rPr>
          <w:rFonts w:ascii="Lexend Light" w:cs="Lexend Light" w:eastAsia="Lexend Light" w:hAnsi="Lexend Light"/>
          <w:sz w:val="20"/>
          <w:szCs w:val="20"/>
          <w:rtl w:val="0"/>
        </w:rPr>
        <w:t xml:space="preserve">Not migrating Greenfield cloud to enterprise</w:t>
      </w:r>
    </w:p>
    <w:p w:rsidR="00000000" w:rsidDel="00000000" w:rsidP="00000000" w:rsidRDefault="00000000" w:rsidRPr="00000000" w14:paraId="0000002D">
      <w:pPr>
        <w:numPr>
          <w:ilvl w:val="1"/>
          <w:numId w:val="1"/>
        </w:numPr>
        <w:spacing w:after="0" w:afterAutospacing="0" w:before="0" w:beforeAutospacing="0" w:lineRule="auto"/>
        <w:ind w:left="90" w:hanging="360"/>
        <w:rPr>
          <w:rFonts w:ascii="Lexend Light" w:cs="Lexend Light" w:eastAsia="Lexend Light" w:hAnsi="Lexend Light"/>
          <w:sz w:val="20"/>
          <w:szCs w:val="20"/>
          <w:u w:val="none"/>
        </w:rPr>
      </w:pPr>
      <w:r w:rsidDel="00000000" w:rsidR="00000000" w:rsidRPr="00000000">
        <w:rPr>
          <w:rFonts w:ascii="Lexend Light" w:cs="Lexend Light" w:eastAsia="Lexend Light" w:hAnsi="Lexend Light"/>
          <w:sz w:val="20"/>
          <w:szCs w:val="20"/>
          <w:rtl w:val="0"/>
        </w:rPr>
        <w:t xml:space="preserve">Not establishing a shared platform</w:t>
      </w:r>
    </w:p>
    <w:p w:rsidR="00000000" w:rsidDel="00000000" w:rsidP="00000000" w:rsidRDefault="00000000" w:rsidRPr="00000000" w14:paraId="0000002E">
      <w:pPr>
        <w:numPr>
          <w:ilvl w:val="1"/>
          <w:numId w:val="1"/>
        </w:numPr>
        <w:spacing w:after="0" w:afterAutospacing="0" w:before="0" w:beforeAutospacing="0" w:lineRule="auto"/>
        <w:ind w:left="90" w:hanging="360"/>
        <w:rPr>
          <w:rFonts w:ascii="Lexend Light" w:cs="Lexend Light" w:eastAsia="Lexend Light" w:hAnsi="Lexend Light"/>
          <w:sz w:val="20"/>
          <w:szCs w:val="20"/>
          <w:u w:val="none"/>
        </w:rPr>
      </w:pPr>
      <w:r w:rsidDel="00000000" w:rsidR="00000000" w:rsidRPr="00000000">
        <w:rPr>
          <w:rFonts w:ascii="Lexend Light" w:cs="Lexend Light" w:eastAsia="Lexend Light" w:hAnsi="Lexend Light"/>
          <w:sz w:val="20"/>
          <w:szCs w:val="20"/>
          <w:rtl w:val="0"/>
        </w:rPr>
        <w:t xml:space="preserve">Application teams not onboarding</w:t>
      </w:r>
    </w:p>
    <w:p w:rsidR="00000000" w:rsidDel="00000000" w:rsidP="00000000" w:rsidRDefault="00000000" w:rsidRPr="00000000" w14:paraId="0000002F">
      <w:pPr>
        <w:numPr>
          <w:ilvl w:val="1"/>
          <w:numId w:val="1"/>
        </w:numPr>
        <w:spacing w:before="0" w:beforeAutospacing="0" w:lineRule="auto"/>
        <w:ind w:left="90" w:hanging="360"/>
        <w:rPr>
          <w:rFonts w:ascii="Lexend Light" w:cs="Lexend Light" w:eastAsia="Lexend Light" w:hAnsi="Lexend Light"/>
          <w:sz w:val="20"/>
          <w:szCs w:val="20"/>
          <w:u w:val="none"/>
        </w:rPr>
      </w:pPr>
      <w:r w:rsidDel="00000000" w:rsidR="00000000" w:rsidRPr="00000000">
        <w:rPr>
          <w:rFonts w:ascii="Lexend Light" w:cs="Lexend Light" w:eastAsia="Lexend Light" w:hAnsi="Lexend Light"/>
          <w:sz w:val="20"/>
          <w:szCs w:val="20"/>
          <w:rtl w:val="0"/>
        </w:rPr>
        <w:t xml:space="preserve">Not adopting core enterprise features</w:t>
      </w:r>
      <w:r w:rsidDel="00000000" w:rsidR="00000000" w:rsidRPr="00000000">
        <w:rPr>
          <w:rtl w:val="0"/>
        </w:rPr>
      </w:r>
    </w:p>
    <w:p w:rsidR="00000000" w:rsidDel="00000000" w:rsidP="00000000" w:rsidRDefault="00000000" w:rsidRPr="00000000" w14:paraId="00000030">
      <w:pPr>
        <w:spacing w:before="200" w:lineRule="auto"/>
        <w:ind w:left="-540" w:firstLine="0"/>
        <w:rPr>
          <w:rFonts w:ascii="Lexend Light" w:cs="Lexend Light" w:eastAsia="Lexend Light" w:hAnsi="Lexend Light"/>
          <w:i w:val="1"/>
          <w:sz w:val="14"/>
          <w:szCs w:val="14"/>
        </w:rPr>
      </w:pPr>
      <w:r w:rsidDel="00000000" w:rsidR="00000000" w:rsidRPr="00000000">
        <w:rPr>
          <w:rtl w:val="0"/>
        </w:rPr>
      </w:r>
    </w:p>
    <w:p w:rsidR="00000000" w:rsidDel="00000000" w:rsidP="00000000" w:rsidRDefault="00000000" w:rsidRPr="00000000" w14:paraId="00000031">
      <w:pPr>
        <w:spacing w:before="200" w:lineRule="auto"/>
        <w:ind w:left="-540" w:firstLine="0"/>
        <w:rPr>
          <w:rFonts w:ascii="Lexend Light" w:cs="Lexend Light" w:eastAsia="Lexend Light" w:hAnsi="Lexend Light"/>
          <w:i w:val="1"/>
          <w:sz w:val="14"/>
          <w:szCs w:val="14"/>
        </w:rPr>
      </w:pPr>
      <w:r w:rsidDel="00000000" w:rsidR="00000000" w:rsidRPr="00000000">
        <w:rPr>
          <w:rtl w:val="0"/>
        </w:rPr>
      </w:r>
    </w:p>
    <w:p w:rsidR="00000000" w:rsidDel="00000000" w:rsidP="00000000" w:rsidRDefault="00000000" w:rsidRPr="00000000" w14:paraId="00000032">
      <w:pPr>
        <w:spacing w:before="200" w:lineRule="auto"/>
        <w:ind w:left="-540" w:firstLine="0"/>
        <w:rPr>
          <w:rFonts w:ascii="Lexend Light" w:cs="Lexend Light" w:eastAsia="Lexend Light" w:hAnsi="Lexend Light"/>
          <w:i w:val="1"/>
          <w:sz w:val="14"/>
          <w:szCs w:val="14"/>
        </w:rPr>
      </w:pPr>
      <w:r w:rsidDel="00000000" w:rsidR="00000000" w:rsidRPr="00000000">
        <w:rPr>
          <w:rtl w:val="0"/>
        </w:rPr>
      </w:r>
    </w:p>
    <w:p w:rsidR="00000000" w:rsidDel="00000000" w:rsidP="00000000" w:rsidRDefault="00000000" w:rsidRPr="00000000" w14:paraId="00000033">
      <w:pPr>
        <w:spacing w:before="200" w:lineRule="auto"/>
        <w:ind w:left="-540" w:firstLine="0"/>
        <w:rPr>
          <w:rFonts w:ascii="Lexend Light" w:cs="Lexend Light" w:eastAsia="Lexend Light" w:hAnsi="Lexend Light"/>
          <w:i w:val="1"/>
          <w:sz w:val="14"/>
          <w:szCs w:val="14"/>
        </w:rPr>
      </w:pPr>
      <w:r w:rsidDel="00000000" w:rsidR="00000000" w:rsidRPr="00000000">
        <w:rPr>
          <w:rtl w:val="0"/>
        </w:rPr>
      </w:r>
    </w:p>
    <w:bookmarkStart w:colFirst="0" w:colLast="0" w:name="oe5r13kmrwjt" w:id="0"/>
    <w:bookmarkEnd w:id="0"/>
    <w:p w:rsidR="00000000" w:rsidDel="00000000" w:rsidP="00000000" w:rsidRDefault="00000000" w:rsidRPr="00000000" w14:paraId="00000034">
      <w:pPr>
        <w:spacing w:before="200" w:lineRule="auto"/>
        <w:ind w:left="-540" w:firstLine="0"/>
        <w:rPr>
          <w:rFonts w:ascii="Lexend Light" w:cs="Lexend Light" w:eastAsia="Lexend Light" w:hAnsi="Lexend Light"/>
          <w:i w:val="1"/>
          <w:sz w:val="14"/>
          <w:szCs w:val="14"/>
        </w:rPr>
      </w:pPr>
      <w:r w:rsidDel="00000000" w:rsidR="00000000" w:rsidRPr="00000000">
        <w:rPr>
          <w:rtl w:val="0"/>
        </w:rPr>
      </w:r>
    </w:p>
    <w:tbl>
      <w:tblPr>
        <w:tblStyle w:val="Table6"/>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74ea7" w:val="clear"/>
            <w:tcMar>
              <w:top w:w="100.0" w:type="dxa"/>
              <w:left w:w="100.0" w:type="dxa"/>
              <w:bottom w:w="100.0" w:type="dxa"/>
              <w:right w:w="100.0" w:type="dxa"/>
            </w:tcMar>
            <w:vAlign w:val="top"/>
          </w:tcPr>
          <w:p w:rsidR="00000000" w:rsidDel="00000000" w:rsidP="00000000" w:rsidRDefault="00000000" w:rsidRPr="00000000" w14:paraId="00000035">
            <w:pPr>
              <w:spacing w:before="0" w:lineRule="auto"/>
              <w:ind w:right="-750"/>
              <w:rPr>
                <w:rFonts w:ascii="Lexend Medium" w:cs="Lexend Medium" w:eastAsia="Lexend Medium" w:hAnsi="Lexend Medium"/>
                <w:color w:val="f3f3f3"/>
                <w:sz w:val="20"/>
                <w:szCs w:val="20"/>
              </w:rPr>
            </w:pPr>
            <w:r w:rsidDel="00000000" w:rsidR="00000000" w:rsidRPr="00000000">
              <w:rPr>
                <w:rFonts w:ascii="Lexend Medium" w:cs="Lexend Medium" w:eastAsia="Lexend Medium" w:hAnsi="Lexend Medium"/>
                <w:color w:val="f3f3f3"/>
                <w:sz w:val="20"/>
                <w:szCs w:val="20"/>
                <w:rtl w:val="0"/>
              </w:rPr>
              <w:t xml:space="preserve">Maturity Model Components / Sub UseCases</w:t>
            </w:r>
          </w:p>
        </w:tc>
      </w:tr>
    </w:tbl>
    <w:p w:rsidR="00000000" w:rsidDel="00000000" w:rsidP="00000000" w:rsidRDefault="00000000" w:rsidRPr="00000000" w14:paraId="00000036">
      <w:pPr>
        <w:spacing w:before="200" w:lineRule="auto"/>
        <w:ind w:left="-540" w:firstLine="0"/>
        <w:rPr>
          <w:sz w:val="18"/>
          <w:szCs w:val="18"/>
        </w:rPr>
      </w:pPr>
      <w:r w:rsidDel="00000000" w:rsidR="00000000" w:rsidRPr="00000000">
        <w:rPr>
          <w:sz w:val="18"/>
          <w:szCs w:val="18"/>
          <w:rtl w:val="0"/>
        </w:rPr>
        <w:t xml:space="preserve">The following sub-usecases are applicable to realize the value provided by ILM: Cloud Foundations</w:t>
      </w:r>
    </w:p>
    <w:p w:rsidR="00000000" w:rsidDel="00000000" w:rsidP="00000000" w:rsidRDefault="00000000" w:rsidRPr="00000000" w14:paraId="00000037">
      <w:pPr>
        <w:spacing w:before="200" w:lineRule="auto"/>
        <w:ind w:left="-540" w:firstLine="0"/>
        <w:rPr>
          <w:sz w:val="18"/>
          <w:szCs w:val="18"/>
        </w:rPr>
      </w:pPr>
      <w:r w:rsidDel="00000000" w:rsidR="00000000" w:rsidRPr="00000000">
        <w:rPr>
          <w:sz w:val="18"/>
          <w:szCs w:val="18"/>
          <w:rtl w:val="0"/>
        </w:rPr>
        <w:t xml:space="preserve">Since we have granular demos in DDR - we recommend an end-to-end demo that encompasses the important use cases - please see the </w:t>
      </w:r>
      <w:hyperlink r:id="rId8">
        <w:r w:rsidDel="00000000" w:rsidR="00000000" w:rsidRPr="00000000">
          <w:rPr>
            <w:color w:val="1155cc"/>
            <w:sz w:val="18"/>
            <w:szCs w:val="18"/>
            <w:u w:val="single"/>
            <w:rtl w:val="0"/>
          </w:rPr>
          <w:t xml:space="preserve">demo script</w:t>
        </w:r>
      </w:hyperlink>
      <w:r w:rsidDel="00000000" w:rsidR="00000000" w:rsidRPr="00000000">
        <w:rPr>
          <w:sz w:val="18"/>
          <w:szCs w:val="18"/>
          <w:rtl w:val="0"/>
        </w:rPr>
        <w:t xml:space="preserve"> for what we propose.</w:t>
      </w:r>
    </w:p>
    <w:p w:rsidR="00000000" w:rsidDel="00000000" w:rsidP="00000000" w:rsidRDefault="00000000" w:rsidRPr="00000000" w14:paraId="00000038">
      <w:pPr>
        <w:widowControl w:val="1"/>
        <w:spacing w:before="0" w:line="240" w:lineRule="auto"/>
        <w:ind w:left="-540" w:firstLine="0"/>
        <w:rPr>
          <w:color w:val="172b4d"/>
          <w:sz w:val="18"/>
          <w:szCs w:val="18"/>
          <w:highlight w:val="white"/>
        </w:rPr>
      </w:pPr>
      <w:r w:rsidDel="00000000" w:rsidR="00000000" w:rsidRPr="00000000">
        <w:rPr>
          <w:rtl w:val="0"/>
        </w:rPr>
      </w:r>
    </w:p>
    <w:tbl>
      <w:tblPr>
        <w:tblStyle w:val="Table7"/>
        <w:tblW w:w="98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45"/>
        <w:gridCol w:w="2880"/>
        <w:gridCol w:w="2055"/>
        <w:tblGridChange w:id="0">
          <w:tblGrid>
            <w:gridCol w:w="2445"/>
            <w:gridCol w:w="2445"/>
            <w:gridCol w:w="2880"/>
            <w:gridCol w:w="205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Sub UseCase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HVD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Workshop</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DDR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5"/>
              </w:numPr>
              <w:spacing w:line="240" w:lineRule="auto"/>
              <w:ind w:left="-90" w:hanging="450"/>
              <w:rPr>
                <w:sz w:val="18"/>
                <w:szCs w:val="18"/>
              </w:rPr>
            </w:pPr>
            <w:r w:rsidDel="00000000" w:rsidR="00000000" w:rsidRPr="00000000">
              <w:rPr>
                <w:rFonts w:ascii="Helvetica Neue" w:cs="Helvetica Neue" w:eastAsia="Helvetica Neue" w:hAnsi="Helvetica Neue"/>
                <w:color w:val="172b4d"/>
                <w:sz w:val="18"/>
                <w:szCs w:val="18"/>
                <w:highlight w:val="white"/>
                <w:rtl w:val="0"/>
              </w:rPr>
              <w:t xml:space="preserve"> Infrastructure as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9">
              <w:r w:rsidDel="00000000" w:rsidR="00000000" w:rsidRPr="00000000">
                <w:rPr>
                  <w:color w:val="1155cc"/>
                  <w:sz w:val="18"/>
                  <w:szCs w:val="18"/>
                  <w:highlight w:val="white"/>
                  <w:u w:val="single"/>
                  <w:rtl w:val="0"/>
                </w:rPr>
                <w:t xml:space="preserve">IaC and Cloud Provisioning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Landing zones: </w:t>
            </w:r>
            <w:hyperlink r:id="rId10">
              <w:r w:rsidDel="00000000" w:rsidR="00000000" w:rsidRPr="00000000">
                <w:rPr>
                  <w:color w:val="1155cc"/>
                  <w:sz w:val="18"/>
                  <w:szCs w:val="18"/>
                  <w:highlight w:val="white"/>
                  <w:u w:val="single"/>
                  <w:rtl w:val="0"/>
                </w:rPr>
                <w:t xml:space="preserve">ws</w:t>
              </w:r>
            </w:hyperlink>
            <w:r w:rsidDel="00000000" w:rsidR="00000000" w:rsidRPr="00000000">
              <w:rPr>
                <w:color w:val="172b4d"/>
                <w:sz w:val="18"/>
                <w:szCs w:val="18"/>
                <w:highlight w:val="white"/>
                <w:rtl w:val="0"/>
              </w:rPr>
              <w:t xml:space="preserve">, </w:t>
            </w:r>
            <w:hyperlink r:id="rId11">
              <w:r w:rsidDel="00000000" w:rsidR="00000000" w:rsidRPr="00000000">
                <w:rPr>
                  <w:color w:val="1155cc"/>
                  <w:sz w:val="18"/>
                  <w:szCs w:val="18"/>
                  <w:highlight w:val="white"/>
                  <w:u w:val="single"/>
                  <w:rtl w:val="0"/>
                </w:rPr>
                <w:t xml:space="preserve">slide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Remote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12">
              <w:r w:rsidDel="00000000" w:rsidR="00000000" w:rsidRPr="00000000">
                <w:rPr>
                  <w:color w:val="1155cc"/>
                  <w:sz w:val="18"/>
                  <w:szCs w:val="18"/>
                  <w:highlight w:val="white"/>
                  <w:u w:val="single"/>
                  <w:rtl w:val="0"/>
                </w:rPr>
                <w:t xml:space="preserve">Terraform Workflows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Role Based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13">
              <w:r w:rsidDel="00000000" w:rsidR="00000000" w:rsidRPr="00000000">
                <w:rPr>
                  <w:color w:val="1155cc"/>
                  <w:sz w:val="18"/>
                  <w:szCs w:val="18"/>
                  <w:highlight w:val="white"/>
                  <w:u w:val="single"/>
                  <w:rtl w:val="0"/>
                </w:rPr>
                <w:t xml:space="preserve">Access Management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Control Workspace: </w:t>
            </w:r>
            <w:hyperlink r:id="rId14">
              <w:r w:rsidDel="00000000" w:rsidR="00000000" w:rsidRPr="00000000">
                <w:rPr>
                  <w:color w:val="1155cc"/>
                  <w:sz w:val="18"/>
                  <w:szCs w:val="18"/>
                  <w:highlight w:val="white"/>
                  <w:u w:val="single"/>
                  <w:rtl w:val="0"/>
                </w:rPr>
                <w:t xml:space="preserve">ws</w:t>
              </w:r>
            </w:hyperlink>
            <w:r w:rsidDel="00000000" w:rsidR="00000000" w:rsidRPr="00000000">
              <w:rPr>
                <w:color w:val="172b4d"/>
                <w:sz w:val="18"/>
                <w:szCs w:val="18"/>
                <w:highlight w:val="white"/>
                <w:rtl w:val="0"/>
              </w:rPr>
              <w:t xml:space="preserve">, </w:t>
            </w:r>
            <w:hyperlink r:id="rId15">
              <w:r w:rsidDel="00000000" w:rsidR="00000000" w:rsidRPr="00000000">
                <w:rPr>
                  <w:color w:val="1155cc"/>
                  <w:sz w:val="18"/>
                  <w:szCs w:val="18"/>
                  <w:highlight w:val="white"/>
                  <w:u w:val="single"/>
                  <w:rtl w:val="0"/>
                </w:rPr>
                <w:t xml:space="preserve">slide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16">
              <w:r w:rsidDel="00000000" w:rsidR="00000000" w:rsidRPr="00000000">
                <w:rPr>
                  <w:color w:val="1155cc"/>
                  <w:sz w:val="18"/>
                  <w:szCs w:val="18"/>
                  <w:highlight w:val="white"/>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VCS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17">
              <w:r w:rsidDel="00000000" w:rsidR="00000000" w:rsidRPr="00000000">
                <w:rPr>
                  <w:color w:val="1155cc"/>
                  <w:sz w:val="18"/>
                  <w:szCs w:val="18"/>
                  <w:highlight w:val="white"/>
                  <w:u w:val="single"/>
                  <w:rtl w:val="0"/>
                </w:rPr>
                <w:t xml:space="preserve">VCS Driven workflow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18">
              <w:r w:rsidDel="00000000" w:rsidR="00000000" w:rsidRPr="00000000">
                <w:rPr>
                  <w:color w:val="1155cc"/>
                  <w:sz w:val="18"/>
                  <w:szCs w:val="18"/>
                  <w:highlight w:val="white"/>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Secure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172b4d"/>
                <w:sz w:val="18"/>
                <w:szCs w:val="18"/>
                <w:highlight w:val="white"/>
              </w:rPr>
            </w:pPr>
            <w:hyperlink r:id="rId19">
              <w:r w:rsidDel="00000000" w:rsidR="00000000" w:rsidRPr="00000000">
                <w:rPr>
                  <w:color w:val="1155cc"/>
                  <w:sz w:val="18"/>
                  <w:szCs w:val="18"/>
                  <w:highlight w:val="white"/>
                  <w:u w:val="single"/>
                  <w:rtl w:val="0"/>
                </w:rPr>
                <w:t xml:space="preserve">IaC and Cloud Provisioning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Cloud Variables: </w:t>
            </w:r>
            <w:hyperlink r:id="rId20">
              <w:r w:rsidDel="00000000" w:rsidR="00000000" w:rsidRPr="00000000">
                <w:rPr>
                  <w:color w:val="1155cc"/>
                  <w:sz w:val="18"/>
                  <w:szCs w:val="18"/>
                  <w:highlight w:val="white"/>
                  <w:u w:val="single"/>
                  <w:rtl w:val="0"/>
                </w:rPr>
                <w:t xml:space="preserve">ws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21">
              <w:r w:rsidDel="00000000" w:rsidR="00000000" w:rsidRPr="00000000">
                <w:rPr>
                  <w:color w:val="1155cc"/>
                  <w:sz w:val="18"/>
                  <w:szCs w:val="18"/>
                  <w:highlight w:val="white"/>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Private Registry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22">
              <w:r w:rsidDel="00000000" w:rsidR="00000000" w:rsidRPr="00000000">
                <w:rPr>
                  <w:color w:val="1155cc"/>
                  <w:sz w:val="18"/>
                  <w:szCs w:val="18"/>
                  <w:highlight w:val="white"/>
                  <w:u w:val="single"/>
                  <w:rtl w:val="0"/>
                </w:rPr>
                <w:t xml:space="preserve">Private Registry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Module Registry: </w:t>
            </w:r>
            <w:hyperlink r:id="rId23">
              <w:r w:rsidDel="00000000" w:rsidR="00000000" w:rsidRPr="00000000">
                <w:rPr>
                  <w:color w:val="1155cc"/>
                  <w:sz w:val="18"/>
                  <w:szCs w:val="18"/>
                  <w:highlight w:val="white"/>
                  <w:u w:val="single"/>
                  <w:rtl w:val="0"/>
                </w:rPr>
                <w:t xml:space="preserve">ws</w:t>
              </w:r>
            </w:hyperlink>
            <w:r w:rsidDel="00000000" w:rsidR="00000000" w:rsidRPr="00000000">
              <w:rPr>
                <w:color w:val="172b4d"/>
                <w:sz w:val="18"/>
                <w:szCs w:val="18"/>
                <w:highlight w:val="white"/>
                <w:rtl w:val="0"/>
              </w:rPr>
              <w:t xml:space="preserve">, slide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Event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Cloud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Policy as code: Sentinel &amp; OPA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24">
              <w:r w:rsidDel="00000000" w:rsidR="00000000" w:rsidRPr="00000000">
                <w:rPr>
                  <w:color w:val="1155cc"/>
                  <w:sz w:val="18"/>
                  <w:szCs w:val="18"/>
                  <w:highlight w:val="white"/>
                  <w:u w:val="single"/>
                  <w:rtl w:val="0"/>
                </w:rPr>
                <w:t xml:space="preserve">Policy as code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Sentinel Intro: </w:t>
            </w:r>
            <w:hyperlink r:id="rId25">
              <w:r w:rsidDel="00000000" w:rsidR="00000000" w:rsidRPr="00000000">
                <w:rPr>
                  <w:color w:val="1155cc"/>
                  <w:sz w:val="18"/>
                  <w:szCs w:val="18"/>
                  <w:highlight w:val="white"/>
                  <w:u w:val="single"/>
                  <w:rtl w:val="0"/>
                </w:rPr>
                <w:t xml:space="preserve">ws</w:t>
              </w:r>
            </w:hyperlink>
            <w:r w:rsidDel="00000000" w:rsidR="00000000" w:rsidRPr="00000000">
              <w:rPr>
                <w:color w:val="172b4d"/>
                <w:sz w:val="18"/>
                <w:szCs w:val="18"/>
                <w:highlight w:val="white"/>
                <w:rtl w:val="0"/>
              </w:rPr>
              <w:t xml:space="preserve">, </w:t>
            </w:r>
            <w:hyperlink r:id="rId26">
              <w:r w:rsidDel="00000000" w:rsidR="00000000" w:rsidRPr="00000000">
                <w:rPr>
                  <w:color w:val="1155cc"/>
                  <w:sz w:val="18"/>
                  <w:szCs w:val="18"/>
                  <w:highlight w:val="white"/>
                  <w:u w:val="single"/>
                  <w:rtl w:val="0"/>
                </w:rPr>
                <w:t xml:space="preserve">slides</w:t>
              </w:r>
            </w:hyperlink>
            <w:r w:rsidDel="00000000" w:rsidR="00000000" w:rsidRPr="00000000">
              <w:rPr>
                <w:color w:val="172b4d"/>
                <w:sz w:val="18"/>
                <w:szCs w:val="18"/>
                <w:highlight w:val="white"/>
                <w:rtl w:val="0"/>
              </w:rPr>
              <w:br w:type="textWrapping"/>
              <w:t xml:space="preserve">Sentinel Author: </w:t>
            </w:r>
            <w:hyperlink r:id="rId27">
              <w:r w:rsidDel="00000000" w:rsidR="00000000" w:rsidRPr="00000000">
                <w:rPr>
                  <w:color w:val="1155cc"/>
                  <w:sz w:val="18"/>
                  <w:szCs w:val="18"/>
                  <w:highlight w:val="white"/>
                  <w:u w:val="single"/>
                  <w:rtl w:val="0"/>
                </w:rPr>
                <w:t xml:space="preserve">ws</w:t>
              </w:r>
            </w:hyperlink>
            <w:r w:rsidDel="00000000" w:rsidR="00000000" w:rsidRPr="00000000">
              <w:rPr>
                <w:color w:val="172b4d"/>
                <w:sz w:val="18"/>
                <w:szCs w:val="18"/>
                <w:highlight w:val="white"/>
                <w:rtl w:val="0"/>
              </w:rPr>
              <w:t xml:space="preserve">, </w:t>
            </w:r>
            <w:hyperlink r:id="rId28">
              <w:r w:rsidDel="00000000" w:rsidR="00000000" w:rsidRPr="00000000">
                <w:rPr>
                  <w:color w:val="1155cc"/>
                  <w:sz w:val="18"/>
                  <w:szCs w:val="18"/>
                  <w:highlight w:val="white"/>
                  <w:u w:val="single"/>
                  <w:rtl w:val="0"/>
                </w:rPr>
                <w:t xml:space="preserve">slides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29">
              <w:r w:rsidDel="00000000" w:rsidR="00000000" w:rsidRPr="00000000">
                <w:rPr>
                  <w:color w:val="1155cc"/>
                  <w:sz w:val="18"/>
                  <w:szCs w:val="18"/>
                  <w:highlight w:val="white"/>
                  <w:u w:val="single"/>
                  <w:rtl w:val="0"/>
                </w:rPr>
                <w:t xml:space="preserve">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color w:val="172b4d"/>
                <w:sz w:val="18"/>
                <w:szCs w:val="18"/>
                <w:highlight w:val="white"/>
                <w:rtl w:val="0"/>
              </w:rPr>
              <w:t xml:space="preserve">Drift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30">
              <w:r w:rsidDel="00000000" w:rsidR="00000000" w:rsidRPr="00000000">
                <w:rPr>
                  <w:color w:val="1155cc"/>
                  <w:sz w:val="18"/>
                  <w:szCs w:val="18"/>
                  <w:highlight w:val="white"/>
                  <w:u w:val="single"/>
                  <w:rtl w:val="0"/>
                </w:rPr>
                <w:t xml:space="preserve">Infrastructure Health Monitoring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31">
              <w:r w:rsidDel="00000000" w:rsidR="00000000" w:rsidRPr="00000000">
                <w:rPr>
                  <w:color w:val="1155cc"/>
                  <w:sz w:val="18"/>
                  <w:szCs w:val="18"/>
                  <w:highlight w:val="white"/>
                  <w:u w:val="single"/>
                  <w:rtl w:val="0"/>
                </w:rPr>
                <w:t xml:space="preserve">Link</w:t>
              </w:r>
            </w:hyperlink>
            <w:r w:rsidDel="00000000" w:rsidR="00000000" w:rsidRPr="00000000">
              <w:rPr>
                <w:color w:val="172b4d"/>
                <w:sz w:val="18"/>
                <w:szCs w:val="18"/>
                <w:highlight w:val="white"/>
                <w:rtl w:val="0"/>
              </w:rPr>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172b4d"/>
                <w:sz w:val="18"/>
                <w:szCs w:val="18"/>
                <w:highlight w:val="white"/>
              </w:rPr>
            </w:pPr>
            <w:r w:rsidDel="00000000" w:rsidR="00000000" w:rsidRPr="00000000">
              <w:rPr>
                <w:color w:val="172b4d"/>
                <w:sz w:val="18"/>
                <w:szCs w:val="18"/>
                <w:highlight w:val="white"/>
                <w:rtl w:val="0"/>
              </w:rPr>
              <w:t xml:space="preserve">Continuous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32">
              <w:r w:rsidDel="00000000" w:rsidR="00000000" w:rsidRPr="00000000">
                <w:rPr>
                  <w:color w:val="1155cc"/>
                  <w:sz w:val="18"/>
                  <w:szCs w:val="18"/>
                  <w:highlight w:val="white"/>
                  <w:u w:val="single"/>
                  <w:rtl w:val="0"/>
                </w:rPr>
                <w:t xml:space="preserve">Continuous Validation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numPr>
                <w:ilvl w:val="0"/>
                <w:numId w:val="5"/>
              </w:numPr>
              <w:spacing w:line="240" w:lineRule="auto"/>
              <w:ind w:left="-90" w:hanging="450"/>
              <w:rPr>
                <w:sz w:val="18"/>
                <w:szCs w:val="18"/>
              </w:rPr>
            </w:pPr>
            <w:r w:rsidDel="00000000" w:rsidR="00000000" w:rsidRPr="00000000">
              <w:rPr>
                <w:rFonts w:ascii="Helvetica Neue" w:cs="Helvetica Neue" w:eastAsia="Helvetica Neue" w:hAnsi="Helvetica Neue"/>
                <w:color w:val="172b4d"/>
                <w:sz w:val="18"/>
                <w:szCs w:val="18"/>
                <w:highlight w:val="white"/>
                <w:rtl w:val="0"/>
              </w:rPr>
              <w:t xml:space="preserve"> Run history &amp; audit logging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hyperlink r:id="rId33">
              <w:r w:rsidDel="00000000" w:rsidR="00000000" w:rsidRPr="00000000">
                <w:rPr>
                  <w:color w:val="1155cc"/>
                  <w:sz w:val="18"/>
                  <w:szCs w:val="18"/>
                  <w:highlight w:val="white"/>
                  <w:u w:val="single"/>
                  <w:rtl w:val="0"/>
                </w:rPr>
                <w:t xml:space="preserve">Observability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90" w:hanging="450"/>
              <w:rPr>
                <w:rFonts w:ascii="Helvetica Neue" w:cs="Helvetica Neue" w:eastAsia="Helvetica Neue" w:hAnsi="Helvetica Neue"/>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72b4d"/>
                <w:sz w:val="18"/>
                <w:szCs w:val="18"/>
                <w:highlight w:val="white"/>
              </w:rPr>
            </w:pPr>
            <w:r w:rsidDel="00000000" w:rsidR="00000000" w:rsidRPr="00000000">
              <w:rPr>
                <w:rtl w:val="0"/>
              </w:rPr>
            </w:r>
          </w:p>
        </w:tc>
      </w:tr>
    </w:tbl>
    <w:p w:rsidR="00000000" w:rsidDel="00000000" w:rsidP="00000000" w:rsidRDefault="00000000" w:rsidRPr="00000000" w14:paraId="00000071">
      <w:pPr>
        <w:spacing w:line="240" w:lineRule="auto"/>
        <w:ind w:left="0" w:firstLine="0"/>
        <w:rPr>
          <w:color w:val="172b4d"/>
          <w:sz w:val="18"/>
          <w:szCs w:val="18"/>
          <w:highlight w:val="white"/>
        </w:rPr>
      </w:pPr>
      <w:r w:rsidDel="00000000" w:rsidR="00000000" w:rsidRPr="00000000">
        <w:rPr>
          <w:rtl w:val="0"/>
        </w:rPr>
      </w:r>
    </w:p>
    <w:p w:rsidR="00000000" w:rsidDel="00000000" w:rsidP="00000000" w:rsidRDefault="00000000" w:rsidRPr="00000000" w14:paraId="00000072">
      <w:pPr>
        <w:spacing w:before="200" w:lineRule="auto"/>
        <w:ind w:left="-540" w:firstLine="0"/>
        <w:rPr>
          <w:rFonts w:ascii="Helvetica Neue" w:cs="Helvetica Neue" w:eastAsia="Helvetica Neue" w:hAnsi="Helvetica Neue"/>
          <w:b w:val="1"/>
          <w:color w:val="172b4d"/>
          <w:sz w:val="24"/>
          <w:szCs w:val="24"/>
          <w:highlight w:val="white"/>
        </w:rPr>
      </w:pPr>
      <w:r w:rsidDel="00000000" w:rsidR="00000000" w:rsidRPr="00000000">
        <w:rPr>
          <w:rtl w:val="0"/>
        </w:rPr>
      </w:r>
    </w:p>
    <w:tbl>
      <w:tblPr>
        <w:tblStyle w:val="Table8"/>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74ea7" w:val="clear"/>
            <w:tcMar>
              <w:top w:w="100.0" w:type="dxa"/>
              <w:left w:w="100.0" w:type="dxa"/>
              <w:bottom w:w="100.0" w:type="dxa"/>
              <w:right w:w="100.0" w:type="dxa"/>
            </w:tcMar>
            <w:vAlign w:val="top"/>
          </w:tcPr>
          <w:p w:rsidR="00000000" w:rsidDel="00000000" w:rsidP="00000000" w:rsidRDefault="00000000" w:rsidRPr="00000000" w14:paraId="00000073">
            <w:pPr>
              <w:ind w:right="-750"/>
              <w:rPr>
                <w:rFonts w:ascii="Lexend Medium" w:cs="Lexend Medium" w:eastAsia="Lexend Medium" w:hAnsi="Lexend Medium"/>
                <w:color w:val="f3f3f3"/>
                <w:sz w:val="20"/>
                <w:szCs w:val="20"/>
              </w:rPr>
            </w:pPr>
            <w:r w:rsidDel="00000000" w:rsidR="00000000" w:rsidRPr="00000000">
              <w:rPr>
                <w:rFonts w:ascii="Lexend Medium" w:cs="Lexend Medium" w:eastAsia="Lexend Medium" w:hAnsi="Lexend Medium"/>
                <w:color w:val="f3f3f3"/>
                <w:sz w:val="20"/>
                <w:szCs w:val="20"/>
                <w:rtl w:val="0"/>
              </w:rPr>
              <w:t xml:space="preserve">References</w:t>
            </w:r>
          </w:p>
        </w:tc>
      </w:tr>
    </w:tbl>
    <w:p w:rsidR="00000000" w:rsidDel="00000000" w:rsidP="00000000" w:rsidRDefault="00000000" w:rsidRPr="00000000" w14:paraId="00000074">
      <w:pPr>
        <w:spacing w:line="240" w:lineRule="auto"/>
        <w:ind w:left="0" w:firstLine="0"/>
        <w:rPr>
          <w:color w:val="172b4d"/>
          <w:sz w:val="18"/>
          <w:szCs w:val="18"/>
          <w:highlight w:val="white"/>
        </w:rPr>
      </w:pPr>
      <w:r w:rsidDel="00000000" w:rsidR="00000000" w:rsidRPr="00000000">
        <w:rPr>
          <w:rtl w:val="0"/>
        </w:rPr>
      </w:r>
    </w:p>
    <w:p w:rsidR="00000000" w:rsidDel="00000000" w:rsidP="00000000" w:rsidRDefault="00000000" w:rsidRPr="00000000" w14:paraId="00000075">
      <w:pPr>
        <w:numPr>
          <w:ilvl w:val="0"/>
          <w:numId w:val="3"/>
        </w:numPr>
        <w:ind w:left="720" w:hanging="360"/>
      </w:pPr>
      <w:hyperlink r:id="rId34">
        <w:r w:rsidDel="00000000" w:rsidR="00000000" w:rsidRPr="00000000">
          <w:rPr>
            <w:color w:val="0000ee"/>
            <w:u w:val="single"/>
            <w:rtl w:val="0"/>
          </w:rPr>
          <w:t xml:space="preserve">Cloud Repatriation is Real and it Doesn't Matter</w:t>
        </w:r>
      </w:hyperlink>
      <w:r w:rsidDel="00000000" w:rsidR="00000000" w:rsidRPr="00000000">
        <w:rPr>
          <w:rtl w:val="0"/>
        </w:rPr>
      </w:r>
    </w:p>
    <w:p w:rsidR="00000000" w:rsidDel="00000000" w:rsidP="00000000" w:rsidRDefault="00000000" w:rsidRPr="00000000" w14:paraId="00000076">
      <w:pPr>
        <w:numPr>
          <w:ilvl w:val="0"/>
          <w:numId w:val="3"/>
        </w:numPr>
        <w:ind w:left="720" w:hanging="360"/>
      </w:pPr>
      <w:hyperlink r:id="rId35">
        <w:r w:rsidDel="00000000" w:rsidR="00000000" w:rsidRPr="00000000">
          <w:rPr>
            <w:color w:val="1155cc"/>
            <w:u w:val="single"/>
            <w:rtl w:val="0"/>
          </w:rPr>
          <w:t xml:space="preserve">Building a durable hybrid cloud for AI</w:t>
        </w:r>
      </w:hyperlink>
      <w:r w:rsidDel="00000000" w:rsidR="00000000" w:rsidRPr="00000000">
        <w:rPr>
          <w:rtl w:val="0"/>
        </w:rPr>
      </w:r>
    </w:p>
    <w:p w:rsidR="00000000" w:rsidDel="00000000" w:rsidP="00000000" w:rsidRDefault="00000000" w:rsidRPr="00000000" w14:paraId="00000077">
      <w:pPr>
        <w:numPr>
          <w:ilvl w:val="0"/>
          <w:numId w:val="3"/>
        </w:numPr>
        <w:ind w:left="720" w:hanging="360"/>
      </w:pPr>
      <w:hyperlink r:id="rId36">
        <w:r w:rsidDel="00000000" w:rsidR="00000000" w:rsidRPr="00000000">
          <w:rPr>
            <w:color w:val="1155cc"/>
            <w:u w:val="single"/>
            <w:rtl w:val="0"/>
          </w:rPr>
          <w:t xml:space="preserve">Gartner Forecasts Worldwide Public Cloud End-User Spending to Total $723 Billion in 202</w:t>
        </w:r>
      </w:hyperlink>
      <w:r w:rsidDel="00000000" w:rsidR="00000000" w:rsidRPr="00000000">
        <w:rPr>
          <w:rtl w:val="0"/>
        </w:rPr>
      </w:r>
    </w:p>
    <w:p w:rsidR="00000000" w:rsidDel="00000000" w:rsidP="00000000" w:rsidRDefault="00000000" w:rsidRPr="00000000" w14:paraId="00000078">
      <w:pPr>
        <w:spacing w:line="240" w:lineRule="auto"/>
        <w:rPr>
          <w:color w:val="172b4d"/>
          <w:sz w:val="18"/>
          <w:szCs w:val="18"/>
          <w:highlight w:val="white"/>
        </w:rPr>
      </w:pPr>
      <w:r w:rsidDel="00000000" w:rsidR="00000000" w:rsidRPr="00000000">
        <w:rPr>
          <w:rtl w:val="0"/>
        </w:rPr>
      </w:r>
    </w:p>
    <w:sectPr>
      <w:headerReference r:id="rId37" w:type="default"/>
      <w:headerReference r:id="rId38" w:type="first"/>
      <w:footerReference r:id="rId3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 Randolph" w:id="4" w:date="2025-01-27T15:42:52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fancy spelling of "Southwest Airlines".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note, I have a build-vs-buy exercise that we went through with them to no avail.  Not sure if it would be beneficial for anything but here is a link:  https://docs.google.com/presentation/d/1LPoQgiI6Yoz9Wh9eYGly2NJrthC44JkUjhivABsegfQ/edit?usp=sharing</w:t>
      </w:r>
    </w:p>
  </w:comment>
  <w:comment w:author="Miles Harrison" w:id="2" w:date="2025-01-13T21:55:0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section should focus more on the automation, governance, security, and guardrails "by default" in any deployment environment vs the application runtime and data security/integrations</w:t>
      </w:r>
    </w:p>
  </w:comment>
  <w:comment w:author="Mike Wright" w:id="3" w:date="2025-01-15T14:58:02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foundation is a single pane of glass for public/private clouds</w:t>
      </w:r>
    </w:p>
  </w:comment>
  <w:comment w:author="Andy Baran" w:id="0" w:date="2025-02-03T14:37:48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good content here but it needs to be chunked up.  This is a very long sentence.</w:t>
      </w:r>
    </w:p>
  </w:comment>
  <w:comment w:author="Tim Silk" w:id="1" w:date="2025-02-06T01:07:38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word-smithed both paragraphs in this section...I believe it still conveys the intended message.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SemiBold">
    <w:embedRegular w:fontKey="{00000000-0000-0000-0000-000000000000}" r:id="rId1" w:subsetted="0"/>
    <w:embedBold w:fontKey="{00000000-0000-0000-0000-000000000000}" r:id="rId2" w:subsetted="0"/>
  </w:font>
  <w:font w:name="Lexend Light">
    <w:embedRegular w:fontKey="{00000000-0000-0000-0000-000000000000}" r:id="rId3" w:subsetted="0"/>
    <w:embedBold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Medium">
    <w:embedRegular w:fontKey="{00000000-0000-0000-0000-000000000000}" r:id="rId9" w:subsetted="0"/>
    <w:embedBold w:fontKey="{00000000-0000-0000-0000-000000000000}" r:id="rId10" w:subsetted="0"/>
  </w:font>
  <w:font w:name="Helvetica Neue">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 w:name="Lexend">
    <w:embedRegular w:fontKey="{00000000-0000-0000-0000-000000000000}" r:id="rId15" w:subsetted="0"/>
    <w:embedBold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commentRangeStart w:id="4"/>
      <w:r w:rsidDel="00000000" w:rsidR="00000000" w:rsidRPr="00000000">
        <w:rPr>
          <w:sz w:val="20"/>
          <w:szCs w:val="20"/>
          <w:rtl w:val="0"/>
        </w:rPr>
        <w:t xml:space="preserve">Unicorn - Term used for high performance engineering talent who believe they can build scaffolding around TF CE to get what they would need - they are not looking at the long term issues with maintenance of the scaffolding and other concerns such as security.</w:t>
      </w:r>
      <w:commentRangeEnd w:id="4"/>
      <w:r w:rsidDel="00000000" w:rsidR="00000000" w:rsidRPr="00000000">
        <w:commentReference w:id="4"/>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ind w:left="-540" w:firstLine="0"/>
      <w:rPr>
        <w:rFonts w:ascii="Lexend" w:cs="Lexend" w:eastAsia="Lexend" w:hAnsi="Lexend"/>
        <w:sz w:val="26"/>
        <w:szCs w:val="26"/>
      </w:rPr>
    </w:pPr>
    <w:r w:rsidDel="00000000" w:rsidR="00000000" w:rsidRPr="00000000">
      <w:rPr>
        <w:b w:val="1"/>
        <w:rtl w:val="0"/>
      </w:rPr>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5480957</wp:posOffset>
          </wp:positionH>
          <wp:positionV relativeFrom="paragraph">
            <wp:posOffset>19051</wp:posOffset>
          </wp:positionV>
          <wp:extent cx="881743" cy="1905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81743" cy="1905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ind w:left="-540" w:firstLine="0"/>
      <w:rPr>
        <w:rFonts w:ascii="Lexend" w:cs="Lexend" w:eastAsia="Lexend" w:hAnsi="Lexend"/>
        <w:sz w:val="26"/>
        <w:szCs w:val="26"/>
      </w:rPr>
    </w:pPr>
    <w:r w:rsidDel="00000000" w:rsidR="00000000" w:rsidRPr="00000000">
      <w:rPr>
        <w:rFonts w:ascii="Lexend SemiBold" w:cs="Lexend SemiBold" w:eastAsia="Lexend SemiBold" w:hAnsi="Lexend SemiBold"/>
        <w:sz w:val="36"/>
        <w:szCs w:val="36"/>
        <w:rtl w:val="0"/>
      </w:rPr>
      <w:t xml:space="preserve">Infrastructure Lifecycle Management</w:t>
    </w:r>
    <w:r w:rsidDel="00000000" w:rsidR="00000000" w:rsidRPr="00000000">
      <w:rPr>
        <w:b w:val="1"/>
        <w:rtl w:val="0"/>
      </w:rPr>
      <w:br w:type="textWrapping"/>
    </w:r>
    <w:r w:rsidDel="00000000" w:rsidR="00000000" w:rsidRPr="00000000">
      <w:rPr>
        <w:rFonts w:ascii="Lexend" w:cs="Lexend" w:eastAsia="Lexend" w:hAnsi="Lexend"/>
        <w:color w:val="666666"/>
        <w:sz w:val="26"/>
        <w:szCs w:val="26"/>
        <w:rtl w:val="0"/>
      </w:rPr>
      <w:t xml:space="preserve">Tactical Sales Play</w:t>
    </w:r>
    <w:r w:rsidDel="00000000" w:rsidR="00000000" w:rsidRPr="00000000">
      <w:rPr>
        <w:rFonts w:ascii="Lexend" w:cs="Lexend" w:eastAsia="Lexend" w:hAnsi="Lexend"/>
        <w:sz w:val="26"/>
        <w:szCs w:val="26"/>
        <w:rtl w:val="0"/>
      </w:rPr>
      <w:t xml:space="preserve"> - Cloud Foundations</w:t>
    </w:r>
    <w:r w:rsidDel="00000000" w:rsidR="00000000" w:rsidRPr="00000000">
      <w:drawing>
        <wp:anchor allowOverlap="1" behindDoc="0" distB="114300" distT="114300" distL="114300" distR="114300" hidden="0" layoutInCell="1" locked="0" relativeHeight="0" simplePos="0">
          <wp:simplePos x="0" y="0"/>
          <wp:positionH relativeFrom="column">
            <wp:posOffset>4819650</wp:posOffset>
          </wp:positionH>
          <wp:positionV relativeFrom="paragraph">
            <wp:posOffset>19051</wp:posOffset>
          </wp:positionV>
          <wp:extent cx="1538868" cy="3286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8868" cy="3286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lay.instruqt.com/hashicorp/tracks/terraform-cloud-variables" TargetMode="External"/><Relationship Id="rId22" Type="http://schemas.openxmlformats.org/officeDocument/2006/relationships/hyperlink" Target="https://developer.hashicorp.com/validated-designs/terraform-operating-guides-standardization/private-registry" TargetMode="External"/><Relationship Id="rId21" Type="http://schemas.openxmlformats.org/officeDocument/2006/relationships/hyperlink" Target="https://app.terraform.io/app/hashicorp-wwtfo-demo-platform-prod/registry/modules/private/hashicorp-wwtfo-demo-platform-prod/dynamic-secrets-with-aws/vault" TargetMode="External"/><Relationship Id="rId24" Type="http://schemas.openxmlformats.org/officeDocument/2006/relationships/hyperlink" Target="https://developer.hashicorp.com/validated-designs/terraform-operating-guides-standardization/policy-as-code-sentinel" TargetMode="External"/><Relationship Id="rId23" Type="http://schemas.openxmlformats.org/officeDocument/2006/relationships/hyperlink" Target="https://play.instruqt.com/hashicorp/tracks/tfc-private-module-registr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veloper.hashicorp.com/validated-designs/terraform-operating-guides-adoption/iac-and-cloud-provisioning" TargetMode="External"/><Relationship Id="rId26" Type="http://schemas.openxmlformats.org/officeDocument/2006/relationships/hyperlink" Target="https://docs.google.com/presentation/d/1vf481Plc4aXGkepTk9dH3vG5AI5ysmGnyCIdNExYjvk/edit" TargetMode="External"/><Relationship Id="rId25" Type="http://schemas.openxmlformats.org/officeDocument/2006/relationships/hyperlink" Target="https://play.instruqt.com/manage/hashicorp/tracks/policy-as-code-introduction-terraform" TargetMode="External"/><Relationship Id="rId28" Type="http://schemas.openxmlformats.org/officeDocument/2006/relationships/hyperlink" Target="https://docs.google.com/presentation/d/1KsL46rBaxrIQjgtQWocvn-4MW3bUF5PvIqQHZCKj_z0/edit#slide=id.g2bb36b3b868_0_640" TargetMode="External"/><Relationship Id="rId27" Type="http://schemas.openxmlformats.org/officeDocument/2006/relationships/hyperlink" Target="https://play.instruqt.com/manage/hashicorp/tracks/sentinel-pac-lifecycle-management"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s://app.terraform.io/app/hashicorp-wwtfo-demo-platform-prod/registry/modules/private/hashicorp-wwtfo-demo-platform-prod/policy-as-code/terraform" TargetMode="External"/><Relationship Id="rId7" Type="http://schemas.openxmlformats.org/officeDocument/2006/relationships/styles" Target="styles.xml"/><Relationship Id="rId8" Type="http://schemas.openxmlformats.org/officeDocument/2006/relationships/hyperlink" Target="https://docs.google.com/document/d/12gYEsN96sW957LVSrfdeoJcgg5BvH0yvri9kIVYitss/edit?tab=t.0#heading=h.a0oq1kurrs7q" TargetMode="External"/><Relationship Id="rId31" Type="http://schemas.openxmlformats.org/officeDocument/2006/relationships/hyperlink" Target="https://app.terraform.io/app/hashicorp-wwtfo-demo-platform-prod/registry/modules/private/hashicorp-wwtfo-demo-platform-prod/health-assessments/terraform" TargetMode="External"/><Relationship Id="rId30" Type="http://schemas.openxmlformats.org/officeDocument/2006/relationships/hyperlink" Target="https://developer.hashicorp.com/validated-designs/terraform-operating-guides-standardization/infrastructure-health-monitoring" TargetMode="External"/><Relationship Id="rId11" Type="http://schemas.openxmlformats.org/officeDocument/2006/relationships/hyperlink" Target="https://docs.google.com/presentation/d/12o7jzSzZVgvZyETgTUdGIih3029C2NKlkSiBqBZNn7E/edit#slide=id.g2bb36b3b868_0_640" TargetMode="External"/><Relationship Id="rId33" Type="http://schemas.openxmlformats.org/officeDocument/2006/relationships/hyperlink" Target="https://developer.hashicorp.com/validated-designs/terraform-operating-guides-adoption/observability" TargetMode="External"/><Relationship Id="rId10" Type="http://schemas.openxmlformats.org/officeDocument/2006/relationships/hyperlink" Target="https://play.instruqt.com/hashicorp/tracks/terraform-landing-zone-provisioning-workflow" TargetMode="External"/><Relationship Id="rId32" Type="http://schemas.openxmlformats.org/officeDocument/2006/relationships/hyperlink" Target="https://developer.hashicorp.com/validated-designs/terraform-operating-guides-scale/continuous-validation" TargetMode="External"/><Relationship Id="rId13" Type="http://schemas.openxmlformats.org/officeDocument/2006/relationships/hyperlink" Target="https://developer.hashicorp.com/validated-designs/terraform-operating-guides-adoption/configuration-for-1st-use#access-management" TargetMode="External"/><Relationship Id="rId35" Type="http://schemas.openxmlformats.org/officeDocument/2006/relationships/hyperlink" Target="https://idcdocserv.com/US52592924_IG" TargetMode="External"/><Relationship Id="rId12" Type="http://schemas.openxmlformats.org/officeDocument/2006/relationships/hyperlink" Target="https://developer.hashicorp.com/validated-designs/terraform-operating-guides-adoption/terraform-workflows#terraform-workflows" TargetMode="External"/><Relationship Id="rId34" Type="http://schemas.openxmlformats.org/officeDocument/2006/relationships/hyperlink" Target="https://www.youtube.com/watch?v=BE-N6mze7Fk" TargetMode="External"/><Relationship Id="rId15" Type="http://schemas.openxmlformats.org/officeDocument/2006/relationships/hyperlink" Target="https://docs.google.com/presentation/d/15xrD6DwxyuLlBWDW1VjfHFj5O80-KwSSXls5Z253OVk/edit#slide=id.g2bb36b3b868_0_640" TargetMode="External"/><Relationship Id="rId37" Type="http://schemas.openxmlformats.org/officeDocument/2006/relationships/header" Target="header1.xml"/><Relationship Id="rId14" Type="http://schemas.openxmlformats.org/officeDocument/2006/relationships/hyperlink" Target="https://play.instruqt.com/hashicorp/tracks/terraform-control-workspaces" TargetMode="External"/><Relationship Id="rId36" Type="http://schemas.openxmlformats.org/officeDocument/2006/relationships/hyperlink" Target="https://www.gartner.com/en/newsroom/press-releases/2024-11-19-gartner-forecasts-worldwide-public-cloud-end-user-spending-to-total-723-billion-dollars-in-2025" TargetMode="External"/><Relationship Id="rId17" Type="http://schemas.openxmlformats.org/officeDocument/2006/relationships/hyperlink" Target="https://developer.hashicorp.com/validated-designs/terraform-operating-guides-adoption/terraform-workflows#vcs-driven-workflow" TargetMode="External"/><Relationship Id="rId39" Type="http://schemas.openxmlformats.org/officeDocument/2006/relationships/footer" Target="footer1.xml"/><Relationship Id="rId16" Type="http://schemas.openxmlformats.org/officeDocument/2006/relationships/hyperlink" Target="https://app.terraform.io/app/hashicorp-wwtfo-demo-platform-prod/registry/modules/private/hashicorp-wwtfo-demo-platform-prod/workspaces-projects-rbac/terraform" TargetMode="External"/><Relationship Id="rId38" Type="http://schemas.openxmlformats.org/officeDocument/2006/relationships/header" Target="header2.xml"/><Relationship Id="rId19" Type="http://schemas.openxmlformats.org/officeDocument/2006/relationships/hyperlink" Target="https://developer.hashicorp.com/validated-designs/terraform-operating-guides-adoption/iac-and-cloud-provisioning" TargetMode="External"/><Relationship Id="rId18" Type="http://schemas.openxmlformats.org/officeDocument/2006/relationships/hyperlink" Target="https://app.terraform.io/app/hashicorp-wwtfo-demo-platform-prod/registry/modules/private/hashicorp-wwtfo-demo-platform-prod/vcs-workflow/terrafor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regular.ttf"/><Relationship Id="rId10" Type="http://schemas.openxmlformats.org/officeDocument/2006/relationships/font" Target="fonts/LexendMedium-bold.ttf"/><Relationship Id="rId13" Type="http://schemas.openxmlformats.org/officeDocument/2006/relationships/font" Target="fonts/HelveticaNeue-italic.ttf"/><Relationship Id="rId12" Type="http://schemas.openxmlformats.org/officeDocument/2006/relationships/font" Target="fonts/HelveticaNeue-bold.ttf"/><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Light-regular.ttf"/><Relationship Id="rId4" Type="http://schemas.openxmlformats.org/officeDocument/2006/relationships/font" Target="fonts/LexendLight-bold.ttf"/><Relationship Id="rId9" Type="http://schemas.openxmlformats.org/officeDocument/2006/relationships/font" Target="fonts/LexendMedium-regular.ttf"/><Relationship Id="rId15" Type="http://schemas.openxmlformats.org/officeDocument/2006/relationships/font" Target="fonts/Lexend-regular.ttf"/><Relationship Id="rId14" Type="http://schemas.openxmlformats.org/officeDocument/2006/relationships/font" Target="fonts/HelveticaNeue-boldItalic.ttf"/><Relationship Id="rId16" Type="http://schemas.openxmlformats.org/officeDocument/2006/relationships/font" Target="fonts/Lexend-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