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jc w:val="center"/>
      </w:pPr>
      <w:r>
        <w:rPr>
          <w:sz w:val="96"/>
          <w:szCs w:val="96"/>
        </w:rPr>
        <w:t xml:space="preserve">🦅</w:t>
      </w:r>
    </w:p>
    <w:p>
      <w:pPr>
        <w:spacing w:after="100" w:before="300"/>
        <w:jc w:val="center"/>
      </w:pPr>
      <w:r>
        <w:rPr>
          <w:b/>
          <w:bCs/>
          <w:color w:val="1F3864"/>
          <w:sz w:val="72"/>
          <w:szCs w:val="72"/>
        </w:rPr>
        <w:t xml:space="preserve">IncidentHawk</w:t>
      </w:r>
    </w:p>
    <w:p>
      <w:pPr>
        <w:spacing w:after="600"/>
        <w:jc w:val="center"/>
      </w:pPr>
      <w:r>
        <w:rPr>
          <w:i/>
          <w:iCs/>
          <w:color w:val="0F766E"/>
          <w:sz w:val="30"/>
          <w:szCs w:val="30"/>
        </w:rPr>
        <w:t xml:space="preserve">A Linux Incident Response Automation Tool</w:t>
      </w:r>
    </w:p>
    <w:p>
      <w:pPr>
        <w:spacing w:after="100"/>
        <w:jc w:val="center"/>
      </w:pPr>
      <w:r>
        <w:rPr>
          <w:b/>
          <w:bCs/>
          <w:sz w:val="26"/>
          <w:szCs w:val="26"/>
        </w:rPr>
        <w:t xml:space="preserve">Project Report</w:t>
      </w:r>
    </w:p>
    <w:p>
      <w:pPr>
        <w:spacing w:after="60"/>
        <w:jc w:val="center"/>
      </w:pPr>
      <w:r>
        <w:rPr>
          <w:sz w:val="22"/>
          <w:szCs w:val="22"/>
        </w:rPr>
        <w:t xml:space="preserve">Prepared by: Tanvir</w:t>
      </w:r>
    </w:p>
    <w:p>
      <w:pPr>
        <w:spacing w:after="60"/>
        <w:jc w:val="center"/>
      </w:pPr>
      <w:r>
        <w:rPr>
          <w:sz w:val="22"/>
          <w:szCs w:val="22"/>
        </w:rPr>
        <w:t xml:space="preserve">Version 1.0.0</w:t>
      </w:r>
    </w:p>
    <w:p>
      <w:pPr>
        <w:jc w:val="center"/>
      </w:pPr>
      <w:r>
        <w:rPr>
          <w:sz w:val="22"/>
          <w:szCs w:val="22"/>
        </w:rPr>
        <w:t xml:space="preserve">July 2026</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Executive Summary</w:t>
      </w:r>
    </w:p>
    <w:p>
      <w:pPr>
        <w:spacing w:after="160"/>
      </w:pPr>
      <w:r>
        <w:rPr>
          <w:sz w:val="22"/>
          <w:szCs w:val="22"/>
        </w:rPr>
        <w:t xml:space="preserve">IncidentHawk is a custom-built, dependency-free Linux incident response automation tool that performs first-response triage on a Linux host suspected of compromise. It collects a read-only forensic snapshot covering system information, user accounts, running processes, network state, persistence mechanisms, and log artifacts, then applies built-in threat heuristics to flag anomalies by severity.</w:t>
      </w:r>
    </w:p>
    <w:p>
      <w:pPr>
        <w:spacing w:after="160"/>
      </w:pPr>
      <w:r>
        <w:rPr>
          <w:sz w:val="22"/>
          <w:szCs w:val="22"/>
        </w:rPr>
        <w:t xml:space="preserve">All collected evidence is packaged into a timestamped, SHA-256-hashed bundle to preserve chain of custody, and compressed into a portable archive that can be securely transferred to an analyst's workstation for deeper investigation. IncidentHawk is strictly read-only — it never kills processes, blocks connections, deletes files, or otherwise modifies the host it runs on, making it safe to execute on a live, potentially compromised system.</w:t>
      </w:r>
    </w:p>
    <w:p>
      <w:pPr>
        <w:pStyle w:val="Heading1"/>
        <w:spacing w:after="200" w:before="400"/>
      </w:pPr>
      <w:r>
        <w:t xml:space="preserve">2. Project Objectives</w:t>
      </w:r>
    </w:p>
    <w:p>
      <w:pPr>
        <w:pStyle w:val="ListParagraph"/>
        <w:numPr>
          <w:ilvl w:val="0"/>
          <w:numId w:val="2"/>
        </w:numPr>
        <w:spacing w:after="80"/>
      </w:pPr>
      <w:r>
        <w:rPr>
          <w:sz w:val="22"/>
          <w:szCs w:val="22"/>
        </w:rPr>
        <w:t xml:space="preserve">Automate the manual, repetitive first-response steps an analyst normally runs by hand during a Linux security incident.</w:t>
      </w:r>
    </w:p>
    <w:p>
      <w:pPr>
        <w:pStyle w:val="ListParagraph"/>
        <w:numPr>
          <w:ilvl w:val="0"/>
          <w:numId w:val="2"/>
        </w:numPr>
        <w:spacing w:after="80"/>
      </w:pPr>
      <w:r>
        <w:rPr>
          <w:sz w:val="22"/>
          <w:szCs w:val="22"/>
        </w:rPr>
        <w:t xml:space="preserve">Collect volatile evidence (processes, network connections) quickly, before it is lost to system activity or attacker cleanup.</w:t>
      </w:r>
    </w:p>
    <w:p>
      <w:pPr>
        <w:pStyle w:val="ListParagraph"/>
        <w:numPr>
          <w:ilvl w:val="0"/>
          <w:numId w:val="2"/>
        </w:numPr>
        <w:spacing w:after="80"/>
      </w:pPr>
      <w:r>
        <w:rPr>
          <w:sz w:val="22"/>
          <w:szCs w:val="22"/>
        </w:rPr>
        <w:t xml:space="preserve">Surface the most common Linux persistence and compromise indicators automatically, without requiring deep manual log review.</w:t>
      </w:r>
    </w:p>
    <w:p>
      <w:pPr>
        <w:pStyle w:val="ListParagraph"/>
        <w:numPr>
          <w:ilvl w:val="0"/>
          <w:numId w:val="2"/>
        </w:numPr>
        <w:spacing w:after="80"/>
      </w:pPr>
      <w:r>
        <w:rPr>
          <w:sz w:val="22"/>
          <w:szCs w:val="22"/>
        </w:rPr>
        <w:t xml:space="preserve">Preserve evidence integrity via SHA-256 hashing for defensible chain of custody.</w:t>
      </w:r>
    </w:p>
    <w:p>
      <w:pPr>
        <w:pStyle w:val="ListParagraph"/>
        <w:numPr>
          <w:ilvl w:val="0"/>
          <w:numId w:val="2"/>
        </w:numPr>
        <w:spacing w:after="80"/>
      </w:pPr>
      <w:r>
        <w:rPr>
          <w:sz w:val="22"/>
          <w:szCs w:val="22"/>
        </w:rPr>
        <w:t xml:space="preserve">Remain strictly non-destructive — collection and reporting only, no containment or remediation actions.</w:t>
      </w:r>
    </w:p>
    <w:p>
      <w:pPr>
        <w:pStyle w:val="ListParagraph"/>
        <w:numPr>
          <w:ilvl w:val="0"/>
          <w:numId w:val="2"/>
        </w:numPr>
        <w:spacing w:after="80"/>
      </w:pPr>
      <w:r>
        <w:rPr>
          <w:sz w:val="22"/>
          <w:szCs w:val="22"/>
        </w:rPr>
        <w:t xml:space="preserve">Package the tool as a standard, installable Linux CLI command.</w:t>
      </w:r>
    </w:p>
    <w:p>
      <w:pPr>
        <w:pStyle w:val="Heading1"/>
        <w:spacing w:after="200" w:before="400"/>
      </w:pPr>
      <w:r>
        <w:t xml:space="preserve">3. Tool Identity</w:t>
      </w:r>
    </w:p>
    <w:p>
      <w:pPr>
        <w:spacing w:after="160"/>
      </w:pPr>
      <w:r>
        <w:rPr>
          <w:b/>
          <w:bCs/>
          <w:sz w:val="22"/>
          <w:szCs w:val="22"/>
        </w:rPr>
        <w:t xml:space="preserve">Name: IncidentHawk</w:t>
      </w:r>
    </w:p>
    <w:p>
      <w:pPr>
        <w:spacing w:after="160"/>
      </w:pPr>
      <w:r>
        <w:rPr>
          <w:sz w:val="22"/>
          <w:szCs w:val="22"/>
        </w:rPr>
        <w:t xml:space="preserve">The name reflects the tool's role in incident response — like a hawk, it moves quickly, surveys the full scene from above, and identifies what stands out before it disappears. The name is original and not associated with any existing commercial product.</w:t>
      </w:r>
    </w:p>
    <w:p>
      <w:pPr>
        <w:pStyle w:val="Heading1"/>
        <w:spacing w:after="200" w:before="400"/>
      </w:pPr>
      <w:r>
        <w:t xml:space="preserve">4. Key Features</w:t>
      </w:r>
    </w:p>
    <w:p>
      <w:pPr>
        <w:pStyle w:val="Heading2"/>
        <w:spacing w:after="150" w:before="300"/>
      </w:pPr>
      <w:r>
        <w:t xml:space="preserve">4.1 Evidence Collection</w:t>
      </w:r>
    </w:p>
    <w:p>
      <w:pPr>
        <w:pStyle w:val="ListParagraph"/>
        <w:numPr>
          <w:ilvl w:val="0"/>
          <w:numId w:val="2"/>
        </w:numPr>
        <w:spacing w:after="80"/>
      </w:pPr>
      <w:r>
        <w:rPr>
          <w:sz w:val="22"/>
          <w:szCs w:val="22"/>
        </w:rPr>
        <w:t xml:space="preserve">System information: hostname, kernel version, OS release, uptime.</w:t>
      </w:r>
    </w:p>
    <w:p>
      <w:pPr>
        <w:pStyle w:val="ListParagraph"/>
        <w:numPr>
          <w:ilvl w:val="0"/>
          <w:numId w:val="2"/>
        </w:numPr>
        <w:spacing w:after="80"/>
      </w:pPr>
      <w:r>
        <w:rPr>
          <w:sz w:val="22"/>
          <w:szCs w:val="22"/>
        </w:rPr>
        <w:t xml:space="preserve">User &amp; account data: logged-in users, last 30 logins, /etc/passwd, sudoers configuration.</w:t>
      </w:r>
    </w:p>
    <w:p>
      <w:pPr>
        <w:pStyle w:val="ListParagraph"/>
        <w:numPr>
          <w:ilvl w:val="0"/>
          <w:numId w:val="2"/>
        </w:numPr>
        <w:spacing w:after="80"/>
      </w:pPr>
      <w:r>
        <w:rPr>
          <w:sz w:val="22"/>
          <w:szCs w:val="22"/>
        </w:rPr>
        <w:t xml:space="preserve">Process snapshot: full process listing and process tree.</w:t>
      </w:r>
    </w:p>
    <w:p>
      <w:pPr>
        <w:pStyle w:val="ListParagraph"/>
        <w:numPr>
          <w:ilvl w:val="0"/>
          <w:numId w:val="2"/>
        </w:numPr>
        <w:spacing w:after="80"/>
      </w:pPr>
      <w:r>
        <w:rPr>
          <w:sz w:val="22"/>
          <w:szCs w:val="22"/>
        </w:rPr>
        <w:t xml:space="preserve">Network snapshot: listening ports, established connections, ARP/neighbor cache.</w:t>
      </w:r>
    </w:p>
    <w:p>
      <w:pPr>
        <w:pStyle w:val="ListParagraph"/>
        <w:numPr>
          <w:ilvl w:val="0"/>
          <w:numId w:val="2"/>
        </w:numPr>
        <w:spacing w:after="80"/>
      </w:pPr>
      <w:r>
        <w:rPr>
          <w:sz w:val="22"/>
          <w:szCs w:val="22"/>
        </w:rPr>
        <w:t xml:space="preserve">Persistence mechanisms: crontabs (system + all users), enabled systemd services, rc.local, ld.so.preload, SSH authorized_keys for every user.</w:t>
      </w:r>
    </w:p>
    <w:p>
      <w:pPr>
        <w:pStyle w:val="ListParagraph"/>
        <w:numPr>
          <w:ilvl w:val="0"/>
          <w:numId w:val="2"/>
        </w:numPr>
        <w:spacing w:after="80"/>
      </w:pPr>
      <w:r>
        <w:rPr>
          <w:sz w:val="22"/>
          <w:szCs w:val="22"/>
        </w:rPr>
        <w:t xml:space="preserve">Filesystem artifacts (full mode): recently modified files, SUID/SGID binaries, hidden files in temp directories, world-writable directories.</w:t>
      </w:r>
    </w:p>
    <w:p>
      <w:pPr>
        <w:pStyle w:val="ListParagraph"/>
        <w:numPr>
          <w:ilvl w:val="0"/>
          <w:numId w:val="2"/>
        </w:numPr>
        <w:spacing w:after="80"/>
      </w:pPr>
      <w:r>
        <w:rPr>
          <w:sz w:val="22"/>
          <w:szCs w:val="22"/>
        </w:rPr>
        <w:t xml:space="preserve">Log artifacts: auth log / syslog tail, per-user bash history tail.</w:t>
      </w:r>
    </w:p>
    <w:p>
      <w:pPr>
        <w:pStyle w:val="Heading2"/>
        <w:spacing w:after="150" w:before="300"/>
      </w:pPr>
      <w:r>
        <w:t xml:space="preserve">4.2 Built-In Threat Heuristics</w:t>
      </w:r>
    </w:p>
    <w:p>
      <w:pPr>
        <w:pStyle w:val="ListParagraph"/>
        <w:numPr>
          <w:ilvl w:val="0"/>
          <w:numId w:val="2"/>
        </w:numPr>
        <w:spacing w:after="80"/>
      </w:pPr>
      <w:r>
        <w:rPr>
          <w:sz w:val="22"/>
          <w:szCs w:val="22"/>
        </w:rPr>
        <w:t xml:space="preserve">Non-root account with UID 0 — classic backdoor account technique.</w:t>
      </w:r>
    </w:p>
    <w:p>
      <w:pPr>
        <w:pStyle w:val="ListParagraph"/>
        <w:numPr>
          <w:ilvl w:val="0"/>
          <w:numId w:val="2"/>
        </w:numPr>
        <w:spacing w:after="80"/>
      </w:pPr>
      <w:r>
        <w:rPr>
          <w:sz w:val="22"/>
          <w:szCs w:val="22"/>
        </w:rPr>
        <w:t xml:space="preserve">Populated /etc/ld.so.preload — rootkit / library-hijack persistence indicator.</w:t>
      </w:r>
    </w:p>
    <w:p>
      <w:pPr>
        <w:pStyle w:val="ListParagraph"/>
        <w:numPr>
          <w:ilvl w:val="0"/>
          <w:numId w:val="2"/>
        </w:numPr>
        <w:spacing w:after="80"/>
      </w:pPr>
      <w:r>
        <w:rPr>
          <w:sz w:val="22"/>
          <w:szCs w:val="22"/>
        </w:rPr>
        <w:t xml:space="preserve">Listener on a known backdoor/shell port (4444, 1337, 31337, etc.).</w:t>
      </w:r>
    </w:p>
    <w:p>
      <w:pPr>
        <w:pStyle w:val="ListParagraph"/>
        <w:numPr>
          <w:ilvl w:val="0"/>
          <w:numId w:val="2"/>
        </w:numPr>
        <w:spacing w:after="80"/>
      </w:pPr>
      <w:r>
        <w:rPr>
          <w:sz w:val="22"/>
          <w:szCs w:val="22"/>
        </w:rPr>
        <w:t xml:space="preserve">Process executing from /tmp, /dev/shm, or /var/tmp.</w:t>
      </w:r>
    </w:p>
    <w:p>
      <w:pPr>
        <w:pStyle w:val="ListParagraph"/>
        <w:numPr>
          <w:ilvl w:val="0"/>
          <w:numId w:val="2"/>
        </w:numPr>
        <w:spacing w:after="80"/>
      </w:pPr>
      <w:r>
        <w:rPr>
          <w:sz w:val="22"/>
          <w:szCs w:val="22"/>
        </w:rPr>
        <w:t xml:space="preserve">Cron entries containing download or reverse-shell indicators (curl, wget, /dev/tcp, bash -i).</w:t>
      </w:r>
    </w:p>
    <w:p>
      <w:pPr>
        <w:pStyle w:val="ListParagraph"/>
        <w:numPr>
          <w:ilvl w:val="0"/>
          <w:numId w:val="2"/>
        </w:numPr>
        <w:spacing w:after="80"/>
      </w:pPr>
      <w:r>
        <w:rPr>
          <w:sz w:val="22"/>
          <w:szCs w:val="22"/>
        </w:rPr>
        <w:t xml:space="preserve">Hidden files in temp directories.</w:t>
      </w:r>
    </w:p>
    <w:p>
      <w:pPr>
        <w:pStyle w:val="ListParagraph"/>
        <w:numPr>
          <w:ilvl w:val="0"/>
          <w:numId w:val="2"/>
        </w:numPr>
        <w:spacing w:after="80"/>
      </w:pPr>
      <w:r>
        <w:rPr>
          <w:sz w:val="22"/>
          <w:szCs w:val="22"/>
        </w:rPr>
        <w:t xml:space="preserve">SUID/SGID binaries outside the common system allow-list.</w:t>
      </w:r>
    </w:p>
    <w:p>
      <w:pPr>
        <w:pStyle w:val="Heading2"/>
        <w:spacing w:after="150" w:before="300"/>
      </w:pPr>
      <w:r>
        <w:t xml:space="preserve">4.3 Evidence Integrity &amp; Reporting</w:t>
      </w:r>
    </w:p>
    <w:p>
      <w:pPr>
        <w:pStyle w:val="ListParagraph"/>
        <w:numPr>
          <w:ilvl w:val="0"/>
          <w:numId w:val="2"/>
        </w:numPr>
        <w:spacing w:after="80"/>
      </w:pPr>
      <w:r>
        <w:rPr>
          <w:sz w:val="22"/>
          <w:szCs w:val="22"/>
        </w:rPr>
        <w:t xml:space="preserve">SHA-256 manifest generated for every collected evidence file (chain of custody).</w:t>
      </w:r>
    </w:p>
    <w:p>
      <w:pPr>
        <w:pStyle w:val="ListParagraph"/>
        <w:numPr>
          <w:ilvl w:val="0"/>
          <w:numId w:val="2"/>
        </w:numPr>
        <w:spacing w:after="80"/>
      </w:pPr>
      <w:r>
        <w:rPr>
          <w:sz w:val="22"/>
          <w:szCs w:val="22"/>
        </w:rPr>
        <w:t xml:space="preserve">Evidence bundle compressed into a portable .tar.gz archive.</w:t>
      </w:r>
    </w:p>
    <w:p>
      <w:pPr>
        <w:pStyle w:val="ListParagraph"/>
        <w:numPr>
          <w:ilvl w:val="0"/>
          <w:numId w:val="2"/>
        </w:numPr>
        <w:spacing w:after="80"/>
      </w:pPr>
      <w:r>
        <w:rPr>
          <w:sz w:val="22"/>
          <w:szCs w:val="22"/>
        </w:rPr>
        <w:t xml:space="preserve">Color-coded console output for immediate on-screen triage.</w:t>
      </w:r>
    </w:p>
    <w:p>
      <w:pPr>
        <w:pStyle w:val="ListParagraph"/>
        <w:numPr>
          <w:ilvl w:val="0"/>
          <w:numId w:val="2"/>
        </w:numPr>
        <w:spacing w:after="80"/>
      </w:pPr>
      <w:r>
        <w:rPr>
          <w:sz w:val="22"/>
          <w:szCs w:val="22"/>
        </w:rPr>
        <w:t xml:space="preserve">JSON export for SOAR/SIEM integration.</w:t>
      </w:r>
    </w:p>
    <w:p>
      <w:pPr>
        <w:pStyle w:val="ListParagraph"/>
        <w:numPr>
          <w:ilvl w:val="0"/>
          <w:numId w:val="2"/>
        </w:numPr>
        <w:spacing w:after="80"/>
      </w:pPr>
      <w:r>
        <w:rPr>
          <w:sz w:val="22"/>
          <w:szCs w:val="22"/>
        </w:rPr>
        <w:t xml:space="preserve">Styled, shareable HTML report for incident summaries.</w:t>
      </w:r>
    </w:p>
    <w:p>
      <w:pPr>
        <w:pStyle w:val="Heading1"/>
        <w:spacing w:after="200" w:before="400"/>
      </w:pPr>
      <w:r>
        <w:t xml:space="preserve">5. How It Works</w:t>
      </w:r>
    </w:p>
    <w:p>
      <w:pPr>
        <w:spacing w:after="160"/>
      </w:pPr>
      <w:r>
        <w:rPr>
          <w:sz w:val="22"/>
          <w:szCs w:val="22"/>
        </w:rPr>
        <w:t xml:space="preserve">IncidentHawk runs a sequence of read-only collector modules, each responsible for one area of the host (system, users, processes, network, persistence, filesystem, logs). Every collector's raw output is stored as evidence and simultaneously scanned by lightweight heuristic checks that generate severity-scored findings. Once collection finishes, all evidence is written to a timestamped case folder, hashed, optionally archived, and rendered into the requested report format.</w:t>
      </w:r>
    </w:p>
    <w:tbl>
      <w:tblPr>
        <w:tblW w:type="pct" w:w="100%"/>
        <w:tblBorders>
          <w:top w:val="single" w:color="444444" w:sz="4"/>
          <w:left w:val="single" w:color="444444" w:sz="4"/>
          <w:bottom w:val="single" w:color="444444" w:sz="4"/>
          <w:right w:val="single" w:color="444444"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r>
              <w:rPr>
                <w:rFonts w:ascii="Consolas" w:cs="Consolas" w:eastAsia="Consolas" w:hAnsi="Consolas"/>
                <w:color w:val="D4D4D4"/>
                <w:sz w:val="19"/>
                <w:szCs w:val="19"/>
              </w:rPr>
              <w:t xml:space="preserve">        Collector Modules</w:t>
            </w:r>
          </w:p>
          <w:p>
            <w:r>
              <w:rPr>
                <w:rFonts w:ascii="Consolas" w:cs="Consolas" w:eastAsia="Consolas" w:hAnsi="Consolas"/>
                <w:color w:val="D4D4D4"/>
                <w:sz w:val="19"/>
                <w:szCs w:val="19"/>
              </w:rPr>
              <w:t xml:space="preserve">  (system / users / processes / network /</w:t>
            </w:r>
          </w:p>
          <w:p>
            <w:r>
              <w:rPr>
                <w:rFonts w:ascii="Consolas" w:cs="Consolas" w:eastAsia="Consolas" w:hAnsi="Consolas"/>
                <w:color w:val="D4D4D4"/>
                <w:sz w:val="19"/>
                <w:szCs w:val="19"/>
              </w:rPr>
              <w:t xml:space="preserve">   persistence / filesystem / logs)</w:t>
            </w:r>
          </w:p>
          <w:p>
            <w:r>
              <w:rPr>
                <w:rFonts w:ascii="Consolas" w:cs="Consolas" w:eastAsia="Consolas" w:hAnsi="Consolas"/>
                <w:color w:val="D4D4D4"/>
                <w:sz w:val="19"/>
                <w:szCs w:val="19"/>
              </w:rPr>
              <w:t xml:space="preserve">              |</w:t>
            </w:r>
          </w:p>
          <w:p>
            <w:r>
              <w:rPr>
                <w:rFonts w:ascii="Consolas" w:cs="Consolas" w:eastAsia="Consolas" w:hAnsi="Consolas"/>
                <w:color w:val="D4D4D4"/>
                <w:sz w:val="19"/>
                <w:szCs w:val="19"/>
              </w:rPr>
              <w:t xml:space="preserve">              v</w:t>
            </w:r>
          </w:p>
          <w:p>
            <w:r>
              <w:rPr>
                <w:rFonts w:ascii="Consolas" w:cs="Consolas" w:eastAsia="Consolas" w:hAnsi="Consolas"/>
                <w:color w:val="D4D4D4"/>
                <w:sz w:val="19"/>
                <w:szCs w:val="19"/>
              </w:rPr>
              <w:t xml:space="preserve">     Heuristic Threat Scoring</w:t>
            </w:r>
          </w:p>
          <w:p>
            <w:r>
              <w:rPr>
                <w:rFonts w:ascii="Consolas" w:cs="Consolas" w:eastAsia="Consolas" w:hAnsi="Consolas"/>
                <w:color w:val="D4D4D4"/>
                <w:sz w:val="19"/>
                <w:szCs w:val="19"/>
              </w:rPr>
              <w:t xml:space="preserve">              |</w:t>
            </w:r>
          </w:p>
          <w:p>
            <w:r>
              <w:rPr>
                <w:rFonts w:ascii="Consolas" w:cs="Consolas" w:eastAsia="Consolas" w:hAnsi="Consolas"/>
                <w:color w:val="D4D4D4"/>
                <w:sz w:val="19"/>
                <w:szCs w:val="19"/>
              </w:rPr>
              <w:t xml:space="preserve">              v</w:t>
            </w:r>
          </w:p>
          <w:p>
            <w:r>
              <w:rPr>
                <w:rFonts w:ascii="Consolas" w:cs="Consolas" w:eastAsia="Consolas" w:hAnsi="Consolas"/>
                <w:color w:val="D4D4D4"/>
                <w:sz w:val="19"/>
                <w:szCs w:val="19"/>
              </w:rPr>
              <w:t xml:space="preserve">  Evidence Bundle + SHA-256 Manifest</w:t>
            </w:r>
          </w:p>
          <w:p>
            <w:r>
              <w:rPr>
                <w:rFonts w:ascii="Consolas" w:cs="Consolas" w:eastAsia="Consolas" w:hAnsi="Consolas"/>
                <w:color w:val="D4D4D4"/>
                <w:sz w:val="19"/>
                <w:szCs w:val="19"/>
              </w:rPr>
              <w:t xml:space="preserve">              |</w:t>
            </w:r>
          </w:p>
          <w:p>
            <w:r>
              <w:rPr>
                <w:rFonts w:ascii="Consolas" w:cs="Consolas" w:eastAsia="Consolas" w:hAnsi="Consolas"/>
                <w:color w:val="D4D4D4"/>
                <w:sz w:val="19"/>
                <w:szCs w:val="19"/>
              </w:rPr>
              <w:t xml:space="preserve">              v</w:t>
            </w:r>
          </w:p>
          <w:p>
            <w:r>
              <w:rPr>
                <w:rFonts w:ascii="Consolas" w:cs="Consolas" w:eastAsia="Consolas" w:hAnsi="Consolas"/>
                <w:color w:val="D4D4D4"/>
                <w:sz w:val="19"/>
                <w:szCs w:val="19"/>
              </w:rPr>
              <w:t xml:space="preserve">   .tar.gz Archive + Report Output</w:t>
            </w:r>
          </w:p>
          <w:p>
            <w:r>
              <w:rPr>
                <w:rFonts w:ascii="Consolas" w:cs="Consolas" w:eastAsia="Consolas" w:hAnsi="Consolas"/>
                <w:color w:val="D4D4D4"/>
                <w:sz w:val="19"/>
                <w:szCs w:val="19"/>
              </w:rPr>
              <w:t xml:space="preserve">     (console / JSON / HTML)</w:t>
            </w:r>
          </w:p>
        </w:tc>
      </w:tr>
    </w:tbl>
    <w:p>
      <w:pPr>
        <w:pStyle w:val="Heading1"/>
        <w:spacing w:after="200" w:before="400"/>
      </w:pPr>
      <w:r>
        <w:t xml:space="preserve">6. Installation</w:t>
      </w:r>
    </w:p>
    <w:p>
      <w:pPr>
        <w:spacing w:after="160"/>
      </w:pPr>
      <w:r>
        <w:rPr>
          <w:sz w:val="22"/>
          <w:szCs w:val="22"/>
        </w:rPr>
        <w:t xml:space="preserve">IncidentHawk requires only Python 3.6+ — no external libraries or pip installs are needed. Run as root for a complete collection.</w:t>
      </w:r>
    </w:p>
    <w:tbl>
      <w:tblPr>
        <w:tblW w:type="pct" w:w="100%"/>
        <w:tblBorders>
          <w:top w:val="single" w:color="444444" w:sz="4"/>
          <w:left w:val="single" w:color="444444" w:sz="4"/>
          <w:bottom w:val="single" w:color="444444" w:sz="4"/>
          <w:right w:val="single" w:color="444444"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r>
              <w:rPr>
                <w:rFonts w:ascii="Consolas" w:cs="Consolas" w:eastAsia="Consolas" w:hAnsi="Consolas"/>
                <w:color w:val="D4D4D4"/>
                <w:sz w:val="19"/>
                <w:szCs w:val="19"/>
              </w:rPr>
              <w:t xml:space="preserve">$ chmod +x incidenthawk.py</w:t>
            </w:r>
          </w:p>
          <w:p>
            <w:r>
              <w:rPr>
                <w:rFonts w:ascii="Consolas" w:cs="Consolas" w:eastAsia="Consolas" w:hAnsi="Consolas"/>
                <w:color w:val="D4D4D4"/>
                <w:sz w:val="19"/>
                <w:szCs w:val="19"/>
              </w:rPr>
              <w:t xml:space="preserve">$ sudo cp incidenthawk.py /usr/local/bin/incidenthawk</w:t>
            </w:r>
          </w:p>
          <w:p>
            <w:r>
              <w:rPr>
                <w:rFonts w:ascii="Consolas" w:cs="Consolas" w:eastAsia="Consolas" w:hAnsi="Consolas"/>
                <w:color w:val="D4D4D4"/>
                <w:sz w:val="19"/>
                <w:szCs w:val="19"/>
              </w:rPr>
              <w:t xml:space="preserve">$ incidenthawk --version</w:t>
            </w:r>
          </w:p>
          <w:p>
            <w:r>
              <w:rPr>
                <w:rFonts w:ascii="Consolas" w:cs="Consolas" w:eastAsia="Consolas" w:hAnsi="Consolas"/>
                <w:color w:val="D4D4D4"/>
                <w:sz w:val="19"/>
                <w:szCs w:val="19"/>
              </w:rPr>
              <w:t xml:space="preserve">IncidentHawk 1.0.0</w:t>
            </w:r>
          </w:p>
        </w:tc>
      </w:tr>
    </w:tbl>
    <w:tbl>
      <w:tblPr>
        <w:tblW w:type="pct" w:w="100%"/>
        <w:tblBorders>
          <w:top w:val="dashed" w:color="999999" w:sz="6"/>
          <w:left w:val="dashed" w:color="999999" w:sz="6"/>
          <w:bottom w:val="dashed" w:color="999999" w:sz="6"/>
          <w:right w:val="dashed" w:color="999999" w:sz="6"/>
          <w:insideH w:val="single" w:color="auto" w:sz="4"/>
          <w:insideV w:val="single" w:color="auto" w:sz="4"/>
        </w:tblBorders>
      </w:tblPr>
      <w:tblGrid>
        <w:gridCol w:w="100"/>
      </w:tblGrid>
      <w:tr>
        <w:tc>
          <w:tcPr>
            <w:shd w:fill="FFF7E6" w:val="clear"/>
            <w:tcMar>
              <w:top w:type="dxa" w:w="150"/>
              <w:left w:type="dxa" w:w="200"/>
              <w:bottom w:type="dxa" w:w="150"/>
              <w:right w:type="dxa" w:w="200"/>
            </w:tcMar>
          </w:tcPr>
          <w:p>
            <w:pPr>
              <w:spacing w:after="100"/>
            </w:pPr>
            <w:r>
              <w:rPr>
                <w:b/>
                <w:bCs/>
                <w:color w:val="D97706"/>
                <w:sz w:val="22"/>
                <w:szCs w:val="22"/>
              </w:rPr>
              <w:t xml:space="preserve">📷 SCREENSHOT PLACEHOLDER — Installation &amp; Version Check</w:t>
            </w:r>
          </w:p>
          <w:p>
            <w:r>
              <w:rPr>
                <w:i/>
                <w:iCs/>
                <w:color w:val="555555"/>
                <w:sz w:val="20"/>
                <w:szCs w:val="20"/>
              </w:rPr>
              <w:t xml:space="preserve">Open a terminal on your Linux machine, run the installation commands above, and capture the terminal window showing 'incidenthawk --version' printing the version number successfully.</w:t>
            </w:r>
          </w:p>
        </w:tc>
      </w:tr>
    </w:tbl>
    <w:p>
      <w:pPr>
        <w:pStyle w:val="Heading1"/>
        <w:spacing w:after="200" w:before="400"/>
      </w:pPr>
      <w:r>
        <w:t xml:space="preserve">7. Running IncidentHawk</w:t>
      </w:r>
    </w:p>
    <w:p>
      <w:pPr>
        <w:spacing w:after="160"/>
      </w:pPr>
      <w:r>
        <w:rPr>
          <w:sz w:val="22"/>
          <w:szCs w:val="22"/>
        </w:rPr>
        <w:t xml:space="preserve">Standard full triage run, writing the evidence bundle to a case folder:</w:t>
      </w:r>
    </w:p>
    <w:tbl>
      <w:tblPr>
        <w:tblW w:type="pct" w:w="100%"/>
        <w:tblBorders>
          <w:top w:val="single" w:color="444444" w:sz="4"/>
          <w:left w:val="single" w:color="444444" w:sz="4"/>
          <w:bottom w:val="single" w:color="444444" w:sz="4"/>
          <w:right w:val="single" w:color="444444"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r>
              <w:rPr>
                <w:rFonts w:ascii="Consolas" w:cs="Consolas" w:eastAsia="Consolas" w:hAnsi="Consolas"/>
                <w:color w:val="D4D4D4"/>
                <w:sz w:val="19"/>
                <w:szCs w:val="19"/>
              </w:rPr>
              <w:t xml:space="preserve">$ sudo incidenthawk --output /root/ir_cases --format all</w:t>
            </w:r>
          </w:p>
        </w:tc>
      </w:tr>
    </w:tbl>
    <w:p>
      <w:pPr>
        <w:spacing w:after="160"/>
      </w:pPr>
      <w:r>
        <w:rPr>
          <w:sz w:val="22"/>
          <w:szCs w:val="22"/>
        </w:rPr>
        <w:t xml:space="preserve">Faster triage during an active incident (skips the filesystem-wide scan):</w:t>
      </w:r>
    </w:p>
    <w:tbl>
      <w:tblPr>
        <w:tblW w:type="pct" w:w="100%"/>
        <w:tblBorders>
          <w:top w:val="single" w:color="444444" w:sz="4"/>
          <w:left w:val="single" w:color="444444" w:sz="4"/>
          <w:bottom w:val="single" w:color="444444" w:sz="4"/>
          <w:right w:val="single" w:color="444444"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r>
              <w:rPr>
                <w:rFonts w:ascii="Consolas" w:cs="Consolas" w:eastAsia="Consolas" w:hAnsi="Consolas"/>
                <w:color w:val="D4D4D4"/>
                <w:sz w:val="19"/>
                <w:szCs w:val="19"/>
              </w:rPr>
              <w:t xml:space="preserve">$ sudo incidenthawk --output /root/ir_cases --quick</w:t>
            </w:r>
          </w:p>
        </w:tc>
      </w:tr>
    </w:tbl>
    <w:tbl>
      <w:tblPr>
        <w:tblW w:type="pct" w:w="100%"/>
        <w:tblBorders>
          <w:top w:val="dashed" w:color="999999" w:sz="6"/>
          <w:left w:val="dashed" w:color="999999" w:sz="6"/>
          <w:bottom w:val="dashed" w:color="999999" w:sz="6"/>
          <w:right w:val="dashed" w:color="999999" w:sz="6"/>
          <w:insideH w:val="single" w:color="auto" w:sz="4"/>
          <w:insideV w:val="single" w:color="auto" w:sz="4"/>
        </w:tblBorders>
      </w:tblPr>
      <w:tblGrid>
        <w:gridCol w:w="100"/>
      </w:tblGrid>
      <w:tr>
        <w:tc>
          <w:tcPr>
            <w:shd w:fill="FFF7E6" w:val="clear"/>
            <w:tcMar>
              <w:top w:type="dxa" w:w="150"/>
              <w:left w:type="dxa" w:w="200"/>
              <w:bottom w:type="dxa" w:w="150"/>
              <w:right w:type="dxa" w:w="200"/>
            </w:tcMar>
          </w:tcPr>
          <w:p>
            <w:pPr>
              <w:spacing w:after="100"/>
            </w:pPr>
            <w:r>
              <w:rPr>
                <w:b/>
                <w:bCs/>
                <w:color w:val="D97706"/>
                <w:sz w:val="22"/>
                <w:szCs w:val="22"/>
              </w:rPr>
              <w:t xml:space="preserve">📷 SCREENSHOT PLACEHOLDER — Terminal Triage Run in Progress</w:t>
            </w:r>
          </w:p>
          <w:p>
            <w:r>
              <w:rPr>
                <w:i/>
                <w:iCs/>
                <w:color w:val="555555"/>
                <w:sz w:val="20"/>
                <w:szCs w:val="20"/>
              </w:rPr>
              <w:t xml:space="preserve">Run a full triage with 'sudo incidenthawk --output ./cases' and capture the terminal output — including the ASCII banner, the 'Collecting: ...' progress lines, and the Findings section with color-coded severities.</w:t>
            </w:r>
          </w:p>
        </w:tc>
      </w:tr>
    </w:tbl>
    <w:p>
      <w:pPr>
        <w:pStyle w:val="Heading1"/>
        <w:spacing w:after="200" w:before="400"/>
      </w:pPr>
      <w:r>
        <w:t xml:space="preserve">8. Sample Triage Findings</w:t>
      </w:r>
    </w:p>
    <w:p>
      <w:pPr>
        <w:spacing w:after="160"/>
      </w:pPr>
      <w:r>
        <w:rPr>
          <w:sz w:val="22"/>
          <w:szCs w:val="22"/>
        </w:rPr>
        <w:t xml:space="preserve">Below is an example of the type of findings IncidentHawk produces when run against a host showing signs of compromise: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5464"/>
      </w:tblGrid>
      <w:tr>
        <w:tc>
          <w:tcPr>
            <w:tcW w:type="pct" w:w="15%"/>
            <w:shd w:fill="1F3864" w:val="clear"/>
            <w:tcMar>
              <w:top w:type="dxa" w:w="80"/>
              <w:left w:type="dxa" w:w="100"/>
              <w:bottom w:type="dxa" w:w="80"/>
              <w:right w:type="dxa" w:w="100"/>
            </w:tcMar>
            <w:vAlign w:val="center"/>
          </w:tcPr>
          <w:p>
            <w:r>
              <w:rPr>
                <w:b/>
                <w:bCs/>
                <w:color w:val="FFFFFF"/>
                <w:sz w:val="20"/>
                <w:szCs w:val="20"/>
              </w:rPr>
              <w:t xml:space="preserve">Severity</w:t>
            </w:r>
          </w:p>
        </w:tc>
        <w:tc>
          <w:tcPr>
            <w:tcW w:type="pct" w:w="25%"/>
            <w:shd w:fill="1F3864" w:val="clear"/>
            <w:tcMar>
              <w:top w:type="dxa" w:w="80"/>
              <w:left w:type="dxa" w:w="100"/>
              <w:bottom w:type="dxa" w:w="80"/>
              <w:right w:type="dxa" w:w="100"/>
            </w:tcMar>
            <w:vAlign w:val="center"/>
          </w:tcPr>
          <w:p>
            <w:r>
              <w:rPr>
                <w:b/>
                <w:bCs/>
                <w:color w:val="FFFFFF"/>
                <w:sz w:val="20"/>
                <w:szCs w:val="20"/>
              </w:rPr>
              <w:t xml:space="preserve">Category</w:t>
            </w:r>
          </w:p>
        </w:tc>
        <w:tc>
          <w:tcPr>
            <w:tcW w:type="pct" w:w="60%"/>
            <w:shd w:fill="1F3864" w:val="clear"/>
            <w:tcMar>
              <w:top w:type="dxa" w:w="80"/>
              <w:left w:type="dxa" w:w="100"/>
              <w:bottom w:type="dxa" w:w="80"/>
              <w:right w:type="dxa" w:w="100"/>
            </w:tcMar>
            <w:vAlign w:val="center"/>
          </w:tcPr>
          <w:p>
            <w:r>
              <w:rPr>
                <w:b/>
                <w:bCs/>
                <w:color w:val="FFFFFF"/>
                <w:sz w:val="20"/>
                <w:szCs w:val="20"/>
              </w:rPr>
              <w:t xml:space="preserve">Message</w:t>
            </w:r>
          </w:p>
        </w:tc>
      </w:tr>
      <w:tr>
        <w:tc>
          <w:tcPr>
            <w:tcW w:type="pct" w:w="15%"/>
            <w:shd w:fill="F8D7DA" w:val="clear"/>
            <w:tcMar>
              <w:top w:type="dxa" w:w="80"/>
              <w:left w:type="dxa" w:w="100"/>
              <w:bottom w:type="dxa" w:w="80"/>
              <w:right w:type="dxa" w:w="100"/>
            </w:tcMar>
            <w:vAlign w:val="center"/>
          </w:tcPr>
          <w:p>
            <w:r>
              <w:rPr>
                <w:b w:val="false"/>
                <w:bCs w:val="false"/>
                <w:color w:val="000000"/>
                <w:sz w:val="20"/>
                <w:szCs w:val="20"/>
              </w:rPr>
              <w:t xml:space="preserve">CRITICAL</w:t>
            </w:r>
          </w:p>
        </w:tc>
        <w:tc>
          <w:tcPr>
            <w:tcW w:type="pct" w:w="25%"/>
            <w:shd w:fill="F8D7DA" w:val="clear"/>
            <w:tcMar>
              <w:top w:type="dxa" w:w="80"/>
              <w:left w:type="dxa" w:w="100"/>
              <w:bottom w:type="dxa" w:w="80"/>
              <w:right w:type="dxa" w:w="100"/>
            </w:tcMar>
            <w:vAlign w:val="center"/>
          </w:tcPr>
          <w:p>
            <w:r>
              <w:rPr>
                <w:b w:val="false"/>
                <w:bCs w:val="false"/>
                <w:color w:val="000000"/>
                <w:sz w:val="20"/>
                <w:szCs w:val="20"/>
              </w:rPr>
              <w:t xml:space="preserve">Backdoor Account</w:t>
            </w:r>
          </w:p>
        </w:tc>
        <w:tc>
          <w:tcPr>
            <w:tcW w:type="pct" w:w="60%"/>
            <w:shd w:fill="F8D7DA" w:val="clear"/>
            <w:tcMar>
              <w:top w:type="dxa" w:w="80"/>
              <w:left w:type="dxa" w:w="100"/>
              <w:bottom w:type="dxa" w:w="80"/>
              <w:right w:type="dxa" w:w="100"/>
            </w:tcMar>
            <w:vAlign w:val="center"/>
          </w:tcPr>
          <w:p>
            <w:r>
              <w:rPr>
                <w:b w:val="false"/>
                <w:bCs w:val="false"/>
                <w:color w:val="000000"/>
                <w:sz w:val="20"/>
                <w:szCs w:val="20"/>
              </w:rPr>
              <w:t xml:space="preserve">Non-root account with UID 0 detected: svc-support</w:t>
            </w:r>
          </w:p>
        </w:tc>
      </w:tr>
      <w:tr>
        <w:tc>
          <w:tcPr>
            <w:tcW w:type="pct" w:w="15%"/>
            <w:shd w:fill="F8D7DA" w:val="clear"/>
            <w:tcMar>
              <w:top w:type="dxa" w:w="80"/>
              <w:left w:type="dxa" w:w="100"/>
              <w:bottom w:type="dxa" w:w="80"/>
              <w:right w:type="dxa" w:w="100"/>
            </w:tcMar>
            <w:vAlign w:val="center"/>
          </w:tcPr>
          <w:p>
            <w:r>
              <w:rPr>
                <w:b w:val="false"/>
                <w:bCs w:val="false"/>
                <w:color w:val="000000"/>
                <w:sz w:val="20"/>
                <w:szCs w:val="20"/>
              </w:rPr>
              <w:t xml:space="preserve">CRITICAL</w:t>
            </w:r>
          </w:p>
        </w:tc>
        <w:tc>
          <w:tcPr>
            <w:tcW w:type="pct" w:w="25%"/>
            <w:shd w:fill="F8D7DA" w:val="clear"/>
            <w:tcMar>
              <w:top w:type="dxa" w:w="80"/>
              <w:left w:type="dxa" w:w="100"/>
              <w:bottom w:type="dxa" w:w="80"/>
              <w:right w:type="dxa" w:w="100"/>
            </w:tcMar>
            <w:vAlign w:val="center"/>
          </w:tcPr>
          <w:p>
            <w:r>
              <w:rPr>
                <w:b w:val="false"/>
                <w:bCs w:val="false"/>
                <w:color w:val="000000"/>
                <w:sz w:val="20"/>
                <w:szCs w:val="20"/>
              </w:rPr>
              <w:t xml:space="preserve">LD_PRELOAD Hijack</w:t>
            </w:r>
          </w:p>
        </w:tc>
        <w:tc>
          <w:tcPr>
            <w:tcW w:type="pct" w:w="60%"/>
            <w:shd w:fill="F8D7DA" w:val="clear"/>
            <w:tcMar>
              <w:top w:type="dxa" w:w="80"/>
              <w:left w:type="dxa" w:w="100"/>
              <w:bottom w:type="dxa" w:w="80"/>
              <w:right w:type="dxa" w:w="100"/>
            </w:tcMar>
            <w:vAlign w:val="center"/>
          </w:tcPr>
          <w:p>
            <w:r>
              <w:rPr>
                <w:b w:val="false"/>
                <w:bCs w:val="false"/>
                <w:color w:val="000000"/>
                <w:sz w:val="20"/>
                <w:szCs w:val="20"/>
              </w:rPr>
              <w:t xml:space="preserve">/etc/ld.so.preload is populated - possible rootkit persistence</w:t>
            </w:r>
          </w:p>
        </w:tc>
      </w:tr>
      <w:tr>
        <w:tc>
          <w:tcPr>
            <w:tcW w:type="pct" w:w="15%"/>
            <w:shd w:fill="FDE2CF" w:val="clear"/>
            <w:tcMar>
              <w:top w:type="dxa" w:w="80"/>
              <w:left w:type="dxa" w:w="100"/>
              <w:bottom w:type="dxa" w:w="80"/>
              <w:right w:type="dxa" w:w="100"/>
            </w:tcMar>
            <w:vAlign w:val="center"/>
          </w:tcPr>
          <w:p>
            <w:r>
              <w:rPr>
                <w:b w:val="false"/>
                <w:bCs w:val="false"/>
                <w:color w:val="000000"/>
                <w:sz w:val="20"/>
                <w:szCs w:val="20"/>
              </w:rPr>
              <w:t xml:space="preserve">HIGH</w:t>
            </w:r>
          </w:p>
        </w:tc>
        <w:tc>
          <w:tcPr>
            <w:tcW w:type="pct" w:w="25%"/>
            <w:shd w:fill="FDE2CF" w:val="clear"/>
            <w:tcMar>
              <w:top w:type="dxa" w:w="80"/>
              <w:left w:type="dxa" w:w="100"/>
              <w:bottom w:type="dxa" w:w="80"/>
              <w:right w:type="dxa" w:w="100"/>
            </w:tcMar>
            <w:vAlign w:val="center"/>
          </w:tcPr>
          <w:p>
            <w:r>
              <w:rPr>
                <w:b w:val="false"/>
                <w:bCs w:val="false"/>
                <w:color w:val="000000"/>
                <w:sz w:val="20"/>
                <w:szCs w:val="20"/>
              </w:rPr>
              <w:t xml:space="preserve">Suspicious Process Path</w:t>
            </w:r>
          </w:p>
        </w:tc>
        <w:tc>
          <w:tcPr>
            <w:tcW w:type="pct" w:w="60%"/>
            <w:shd w:fill="FDE2CF" w:val="clear"/>
            <w:tcMar>
              <w:top w:type="dxa" w:w="80"/>
              <w:left w:type="dxa" w:w="100"/>
              <w:bottom w:type="dxa" w:w="80"/>
              <w:right w:type="dxa" w:w="100"/>
            </w:tcMar>
            <w:vAlign w:val="center"/>
          </w:tcPr>
          <w:p>
            <w:r>
              <w:rPr>
                <w:b w:val="false"/>
                <w:bCs w:val="false"/>
                <w:color w:val="000000"/>
                <w:sz w:val="20"/>
                <w:szCs w:val="20"/>
              </w:rPr>
              <w:t xml:space="preserve">Process executing from /dev/shm: ./update</w:t>
            </w:r>
          </w:p>
        </w:tc>
      </w:tr>
      <w:tr>
        <w:tc>
          <w:tcPr>
            <w:tcW w:type="pct" w:w="15%"/>
            <w:shd w:fill="FDE2CF" w:val="clear"/>
            <w:tcMar>
              <w:top w:type="dxa" w:w="80"/>
              <w:left w:type="dxa" w:w="100"/>
              <w:bottom w:type="dxa" w:w="80"/>
              <w:right w:type="dxa" w:w="100"/>
            </w:tcMar>
            <w:vAlign w:val="center"/>
          </w:tcPr>
          <w:p>
            <w:r>
              <w:rPr>
                <w:b w:val="false"/>
                <w:bCs w:val="false"/>
                <w:color w:val="000000"/>
                <w:sz w:val="20"/>
                <w:szCs w:val="20"/>
              </w:rPr>
              <w:t xml:space="preserve">HIGH</w:t>
            </w:r>
          </w:p>
        </w:tc>
        <w:tc>
          <w:tcPr>
            <w:tcW w:type="pct" w:w="25%"/>
            <w:shd w:fill="FDE2CF" w:val="clear"/>
            <w:tcMar>
              <w:top w:type="dxa" w:w="80"/>
              <w:left w:type="dxa" w:w="100"/>
              <w:bottom w:type="dxa" w:w="80"/>
              <w:right w:type="dxa" w:w="100"/>
            </w:tcMar>
            <w:vAlign w:val="center"/>
          </w:tcPr>
          <w:p>
            <w:r>
              <w:rPr>
                <w:b w:val="false"/>
                <w:bCs w:val="false"/>
                <w:color w:val="000000"/>
                <w:sz w:val="20"/>
                <w:szCs w:val="20"/>
              </w:rPr>
              <w:t xml:space="preserve">Suspicious Cron Entry</w:t>
            </w:r>
          </w:p>
        </w:tc>
        <w:tc>
          <w:tcPr>
            <w:tcW w:type="pct" w:w="60%"/>
            <w:shd w:fill="FDE2CF" w:val="clear"/>
            <w:tcMar>
              <w:top w:type="dxa" w:w="80"/>
              <w:left w:type="dxa" w:w="100"/>
              <w:bottom w:type="dxa" w:w="80"/>
              <w:right w:type="dxa" w:w="100"/>
            </w:tcMar>
            <w:vAlign w:val="center"/>
          </w:tcPr>
          <w:p>
            <w:r>
              <w:rPr>
                <w:b w:val="false"/>
                <w:bCs w:val="false"/>
                <w:color w:val="000000"/>
                <w:sz w:val="20"/>
                <w:szCs w:val="20"/>
              </w:rPr>
              <w:t xml:space="preserve">Cron entry contains reverse-shell indicators: bash -i &gt;&amp; /dev/tcp/...</w:t>
            </w:r>
          </w:p>
        </w:tc>
      </w:tr>
      <w:tr>
        <w:tc>
          <w:tcPr>
            <w:tcW w:type="pct" w:w="15%"/>
            <w:shd w:fill="FFF3CD" w:val="clear"/>
            <w:tcMar>
              <w:top w:type="dxa" w:w="80"/>
              <w:left w:type="dxa" w:w="100"/>
              <w:bottom w:type="dxa" w:w="80"/>
              <w:right w:type="dxa" w:w="100"/>
            </w:tcMar>
            <w:vAlign w:val="center"/>
          </w:tcPr>
          <w:p>
            <w:r>
              <w:rPr>
                <w:b w:val="false"/>
                <w:bCs w:val="false"/>
                <w:color w:val="000000"/>
                <w:sz w:val="20"/>
                <w:szCs w:val="20"/>
              </w:rPr>
              <w:t xml:space="preserve">MEDIUM</w:t>
            </w:r>
          </w:p>
        </w:tc>
        <w:tc>
          <w:tcPr>
            <w:tcW w:type="pct" w:w="25%"/>
            <w:shd w:fill="FFF3CD" w:val="clear"/>
            <w:tcMar>
              <w:top w:type="dxa" w:w="80"/>
              <w:left w:type="dxa" w:w="100"/>
              <w:bottom w:type="dxa" w:w="80"/>
              <w:right w:type="dxa" w:w="100"/>
            </w:tcMar>
            <w:vAlign w:val="center"/>
          </w:tcPr>
          <w:p>
            <w:r>
              <w:rPr>
                <w:b w:val="false"/>
                <w:bCs w:val="false"/>
                <w:color w:val="000000"/>
                <w:sz w:val="20"/>
                <w:szCs w:val="20"/>
              </w:rPr>
              <w:t xml:space="preserve">Hidden Files in Temp Directory</w:t>
            </w:r>
          </w:p>
        </w:tc>
        <w:tc>
          <w:tcPr>
            <w:tcW w:type="pct" w:w="60%"/>
            <w:shd w:fill="FFF3CD" w:val="clear"/>
            <w:tcMar>
              <w:top w:type="dxa" w:w="80"/>
              <w:left w:type="dxa" w:w="100"/>
              <w:bottom w:type="dxa" w:w="80"/>
              <w:right w:type="dxa" w:w="100"/>
            </w:tcMar>
            <w:vAlign w:val="center"/>
          </w:tcPr>
          <w:p>
            <w:r>
              <w:rPr>
                <w:b w:val="false"/>
                <w:bCs w:val="false"/>
                <w:color w:val="000000"/>
                <w:sz w:val="20"/>
                <w:szCs w:val="20"/>
              </w:rPr>
              <w:t xml:space="preserve">3 hidden file(s) found under /tmp</w:t>
            </w:r>
          </w:p>
        </w:tc>
      </w:tr>
      <w:tr>
        <w:tc>
          <w:tcPr>
            <w:tcW w:type="pct" w:w="15%"/>
            <w:shd w:fill="D6EAF8" w:val="clear"/>
            <w:tcMar>
              <w:top w:type="dxa" w:w="80"/>
              <w:left w:type="dxa" w:w="100"/>
              <w:bottom w:type="dxa" w:w="80"/>
              <w:right w:type="dxa" w:w="100"/>
            </w:tcMar>
            <w:vAlign w:val="center"/>
          </w:tcPr>
          <w:p>
            <w:r>
              <w:rPr>
                <w:b w:val="false"/>
                <w:bCs w:val="false"/>
                <w:color w:val="000000"/>
                <w:sz w:val="20"/>
                <w:szCs w:val="20"/>
              </w:rPr>
              <w:t xml:space="preserve">LOW</w:t>
            </w:r>
          </w:p>
        </w:tc>
        <w:tc>
          <w:tcPr>
            <w:tcW w:type="pct" w:w="25%"/>
            <w:shd w:fill="D6EAF8" w:val="clear"/>
            <w:tcMar>
              <w:top w:type="dxa" w:w="80"/>
              <w:left w:type="dxa" w:w="100"/>
              <w:bottom w:type="dxa" w:w="80"/>
              <w:right w:type="dxa" w:w="100"/>
            </w:tcMar>
            <w:vAlign w:val="center"/>
          </w:tcPr>
          <w:p>
            <w:r>
              <w:rPr>
                <w:b w:val="false"/>
                <w:bCs w:val="false"/>
                <w:color w:val="000000"/>
                <w:sz w:val="20"/>
                <w:szCs w:val="20"/>
              </w:rPr>
              <w:t xml:space="preserve">SUID/SGID Binaries Present</w:t>
            </w:r>
          </w:p>
        </w:tc>
        <w:tc>
          <w:tcPr>
            <w:tcW w:type="pct" w:w="60%"/>
            <w:shd w:fill="D6EAF8" w:val="clear"/>
            <w:tcMar>
              <w:top w:type="dxa" w:w="80"/>
              <w:left w:type="dxa" w:w="100"/>
              <w:bottom w:type="dxa" w:w="80"/>
              <w:right w:type="dxa" w:w="100"/>
            </w:tcMar>
            <w:vAlign w:val="center"/>
          </w:tcPr>
          <w:p>
            <w:r>
              <w:rPr>
                <w:b w:val="false"/>
                <w:bCs w:val="false"/>
                <w:color w:val="000000"/>
                <w:sz w:val="20"/>
                <w:szCs w:val="20"/>
              </w:rPr>
              <w:t xml:space="preserve">2 SUID/SGID binaries outside the common allow-list</w:t>
            </w:r>
          </w:p>
        </w:tc>
      </w:tr>
    </w:tbl>
    <w:p>
      <w:pPr>
        <w:spacing w:after="160"/>
      </w:pPr>
    </w:p>
    <w:tbl>
      <w:tblPr>
        <w:tblW w:type="pct" w:w="100%"/>
        <w:tblBorders>
          <w:top w:val="dashed" w:color="999999" w:sz="6"/>
          <w:left w:val="dashed" w:color="999999" w:sz="6"/>
          <w:bottom w:val="dashed" w:color="999999" w:sz="6"/>
          <w:right w:val="dashed" w:color="999999" w:sz="6"/>
          <w:insideH w:val="single" w:color="auto" w:sz="4"/>
          <w:insideV w:val="single" w:color="auto" w:sz="4"/>
        </w:tblBorders>
      </w:tblPr>
      <w:tblGrid>
        <w:gridCol w:w="100"/>
      </w:tblGrid>
      <w:tr>
        <w:tc>
          <w:tcPr>
            <w:shd w:fill="FFF7E6" w:val="clear"/>
            <w:tcMar>
              <w:top w:type="dxa" w:w="150"/>
              <w:left w:type="dxa" w:w="200"/>
              <w:bottom w:type="dxa" w:w="150"/>
              <w:right w:type="dxa" w:w="200"/>
            </w:tcMar>
          </w:tcPr>
          <w:p>
            <w:pPr>
              <w:spacing w:after="100"/>
            </w:pPr>
            <w:r>
              <w:rPr>
                <w:b/>
                <w:bCs/>
                <w:color w:val="D97706"/>
                <w:sz w:val="22"/>
                <w:szCs w:val="22"/>
              </w:rPr>
              <w:t xml:space="preserve">📷 SCREENSHOT PLACEHOLDER — Findings Section Close-Up</w:t>
            </w:r>
          </w:p>
          <w:p>
            <w:r>
              <w:rPr>
                <w:i/>
                <w:iCs/>
                <w:color w:val="555555"/>
                <w:sz w:val="20"/>
                <w:szCs w:val="20"/>
              </w:rPr>
              <w:t xml:space="preserve">Zoom in on just the '=== TRIAGE FINDINGS ===' section of your terminal output (or crop the console screenshot) so the severity labels and messages are clearly legible.</w:t>
            </w:r>
          </w:p>
        </w:tc>
      </w:tr>
    </w:tbl>
    <w:p>
      <w:pPr>
        <w:pStyle w:val="Heading1"/>
        <w:spacing w:after="200" w:before="400"/>
      </w:pPr>
      <w:r>
        <w:t xml:space="preserve">9. Evidence Bundle Structure</w:t>
      </w:r>
    </w:p>
    <w:p>
      <w:pPr>
        <w:spacing w:after="160"/>
      </w:pPr>
      <w:r>
        <w:rPr>
          <w:sz w:val="22"/>
          <w:szCs w:val="22"/>
        </w:rPr>
        <w:t xml:space="preserve">Each run produces a self-contained, timestamped evidence folder plus a compressed archive:</w:t>
      </w:r>
    </w:p>
    <w:tbl>
      <w:tblPr>
        <w:tblW w:type="pct" w:w="100%"/>
        <w:tblBorders>
          <w:top w:val="single" w:color="444444" w:sz="4"/>
          <w:left w:val="single" w:color="444444" w:sz="4"/>
          <w:bottom w:val="single" w:color="444444" w:sz="4"/>
          <w:right w:val="single" w:color="444444"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r>
              <w:rPr>
                <w:rFonts w:ascii="Consolas" w:cs="Consolas" w:eastAsia="Consolas" w:hAnsi="Consolas"/>
                <w:color w:val="D4D4D4"/>
                <w:sz w:val="19"/>
                <w:szCs w:val="19"/>
              </w:rPr>
              <w:t xml:space="preserve">incidenthawk_20260712_101530/</w:t>
            </w:r>
          </w:p>
          <w:p>
            <w:r>
              <w:rPr>
                <w:rFonts w:ascii="Consolas" w:cs="Consolas" w:eastAsia="Consolas" w:hAnsi="Consolas"/>
                <w:color w:val="D4D4D4"/>
                <w:sz w:val="19"/>
                <w:szCs w:val="19"/>
              </w:rPr>
              <w:t xml:space="preserve">├── system_info/</w:t>
            </w:r>
          </w:p>
          <w:p>
            <w:r>
              <w:rPr>
                <w:rFonts w:ascii="Consolas" w:cs="Consolas" w:eastAsia="Consolas" w:hAnsi="Consolas"/>
                <w:color w:val="D4D4D4"/>
                <w:sz w:val="19"/>
                <w:szCs w:val="19"/>
              </w:rPr>
              <w:t xml:space="preserve">├── users/</w:t>
            </w:r>
          </w:p>
          <w:p>
            <w:r>
              <w:rPr>
                <w:rFonts w:ascii="Consolas" w:cs="Consolas" w:eastAsia="Consolas" w:hAnsi="Consolas"/>
                <w:color w:val="D4D4D4"/>
                <w:sz w:val="19"/>
                <w:szCs w:val="19"/>
              </w:rPr>
              <w:t xml:space="preserve">├── processes/</w:t>
            </w:r>
          </w:p>
          <w:p>
            <w:r>
              <w:rPr>
                <w:rFonts w:ascii="Consolas" w:cs="Consolas" w:eastAsia="Consolas" w:hAnsi="Consolas"/>
                <w:color w:val="D4D4D4"/>
                <w:sz w:val="19"/>
                <w:szCs w:val="19"/>
              </w:rPr>
              <w:t xml:space="preserve">├── network/</w:t>
            </w:r>
          </w:p>
          <w:p>
            <w:r>
              <w:rPr>
                <w:rFonts w:ascii="Consolas" w:cs="Consolas" w:eastAsia="Consolas" w:hAnsi="Consolas"/>
                <w:color w:val="D4D4D4"/>
                <w:sz w:val="19"/>
                <w:szCs w:val="19"/>
              </w:rPr>
              <w:t xml:space="preserve">├── persistence/</w:t>
            </w:r>
          </w:p>
          <w:p>
            <w:r>
              <w:rPr>
                <w:rFonts w:ascii="Consolas" w:cs="Consolas" w:eastAsia="Consolas" w:hAnsi="Consolas"/>
                <w:color w:val="D4D4D4"/>
                <w:sz w:val="19"/>
                <w:szCs w:val="19"/>
              </w:rPr>
              <w:t xml:space="preserve">├── filesystem/</w:t>
            </w:r>
          </w:p>
          <w:p>
            <w:r>
              <w:rPr>
                <w:rFonts w:ascii="Consolas" w:cs="Consolas" w:eastAsia="Consolas" w:hAnsi="Consolas"/>
                <w:color w:val="D4D4D4"/>
                <w:sz w:val="19"/>
                <w:szCs w:val="19"/>
              </w:rPr>
              <w:t xml:space="preserve">├── logs/</w:t>
            </w:r>
          </w:p>
          <w:p>
            <w:r>
              <w:rPr>
                <w:rFonts w:ascii="Consolas" w:cs="Consolas" w:eastAsia="Consolas" w:hAnsi="Consolas"/>
                <w:color w:val="D4D4D4"/>
                <w:sz w:val="19"/>
                <w:szCs w:val="19"/>
              </w:rPr>
              <w:t xml:space="preserve">├── findings.json</w:t>
            </w:r>
          </w:p>
          <w:p>
            <w:r>
              <w:rPr>
                <w:rFonts w:ascii="Consolas" w:cs="Consolas" w:eastAsia="Consolas" w:hAnsi="Consolas"/>
                <w:color w:val="D4D4D4"/>
                <w:sz w:val="19"/>
                <w:szCs w:val="19"/>
              </w:rPr>
              <w:t xml:space="preserve">└── sha256_manifest.json</w:t>
            </w:r>
          </w:p>
          <w:p>
            <w:r>
              <w:rPr>
                <w:rFonts w:ascii="Consolas" w:cs="Consolas" w:eastAsia="Consolas" w:hAnsi="Consolas"/>
                <w:color w:val="D4D4D4"/>
                <w:sz w:val="19"/>
                <w:szCs w:val="19"/>
              </w:rPr>
              <w:t xml:space="preserve"/>
            </w:r>
          </w:p>
          <w:p>
            <w:r>
              <w:rPr>
                <w:rFonts w:ascii="Consolas" w:cs="Consolas" w:eastAsia="Consolas" w:hAnsi="Consolas"/>
                <w:color w:val="D4D4D4"/>
                <w:sz w:val="19"/>
                <w:szCs w:val="19"/>
              </w:rPr>
              <w:t xml:space="preserve">incidenthawk_20260712_101530.tar.gz</w:t>
            </w:r>
          </w:p>
        </w:tc>
      </w:tr>
    </w:tbl>
    <w:tbl>
      <w:tblPr>
        <w:tblW w:type="pct" w:w="100%"/>
        <w:tblBorders>
          <w:top w:val="dashed" w:color="999999" w:sz="6"/>
          <w:left w:val="dashed" w:color="999999" w:sz="6"/>
          <w:bottom w:val="dashed" w:color="999999" w:sz="6"/>
          <w:right w:val="dashed" w:color="999999" w:sz="6"/>
          <w:insideH w:val="single" w:color="auto" w:sz="4"/>
          <w:insideV w:val="single" w:color="auto" w:sz="4"/>
        </w:tblBorders>
      </w:tblPr>
      <w:tblGrid>
        <w:gridCol w:w="100"/>
      </w:tblGrid>
      <w:tr>
        <w:tc>
          <w:tcPr>
            <w:shd w:fill="FFF7E6" w:val="clear"/>
            <w:tcMar>
              <w:top w:type="dxa" w:w="150"/>
              <w:left w:type="dxa" w:w="200"/>
              <w:bottom w:type="dxa" w:w="150"/>
              <w:right w:type="dxa" w:w="200"/>
            </w:tcMar>
          </w:tcPr>
          <w:p>
            <w:pPr>
              <w:spacing w:after="100"/>
            </w:pPr>
            <w:r>
              <w:rPr>
                <w:b/>
                <w:bCs/>
                <w:color w:val="D97706"/>
                <w:sz w:val="22"/>
                <w:szCs w:val="22"/>
              </w:rPr>
              <w:t xml:space="preserve">📷 SCREENSHOT PLACEHOLDER — Evidence Bundle on Disk</w:t>
            </w:r>
          </w:p>
          <w:p>
            <w:r>
              <w:rPr>
                <w:i/>
                <w:iCs/>
                <w:color w:val="555555"/>
                <w:sz w:val="20"/>
                <w:szCs w:val="20"/>
              </w:rPr>
              <w:t xml:space="preserve">Run 'ls -R' or open a file manager on the generated case folder (e.g. ./cases/incidenthawk_&lt;timestamp&gt;/) and capture a screenshot showing the subfolders and the sha256_manifest.json / findings.json files.</w:t>
            </w:r>
          </w:p>
        </w:tc>
      </w:tr>
    </w:tbl>
    <w:p>
      <w:pPr>
        <w:pStyle w:val="Heading1"/>
        <w:spacing w:after="200" w:before="400"/>
      </w:pPr>
      <w:r>
        <w:t xml:space="preserve">10. HTML Report Output</w:t>
      </w:r>
    </w:p>
    <w:p>
      <w:pPr>
        <w:spacing w:after="160"/>
      </w:pPr>
      <w:r>
        <w:rPr>
          <w:sz w:val="22"/>
          <w:szCs w:val="22"/>
        </w:rPr>
        <w:t xml:space="preserve">When run with --format html, IncidentHawk generates a dark-themed, self-contained HTML report summarizing all findings, color-coded by severity, suitable for sharing with management or including in an incident write-up.</w:t>
      </w:r>
    </w:p>
    <w:tbl>
      <w:tblPr>
        <w:tblW w:type="pct" w:w="100%"/>
        <w:tblBorders>
          <w:top w:val="dashed" w:color="999999" w:sz="6"/>
          <w:left w:val="dashed" w:color="999999" w:sz="6"/>
          <w:bottom w:val="dashed" w:color="999999" w:sz="6"/>
          <w:right w:val="dashed" w:color="999999" w:sz="6"/>
          <w:insideH w:val="single" w:color="auto" w:sz="4"/>
          <w:insideV w:val="single" w:color="auto" w:sz="4"/>
        </w:tblBorders>
      </w:tblPr>
      <w:tblGrid>
        <w:gridCol w:w="100"/>
      </w:tblGrid>
      <w:tr>
        <w:tc>
          <w:tcPr>
            <w:shd w:fill="FFF7E6" w:val="clear"/>
            <w:tcMar>
              <w:top w:type="dxa" w:w="150"/>
              <w:left w:type="dxa" w:w="200"/>
              <w:bottom w:type="dxa" w:w="150"/>
              <w:right w:type="dxa" w:w="200"/>
            </w:tcMar>
          </w:tcPr>
          <w:p>
            <w:pPr>
              <w:spacing w:after="100"/>
            </w:pPr>
            <w:r>
              <w:rPr>
                <w:b/>
                <w:bCs/>
                <w:color w:val="D97706"/>
                <w:sz w:val="22"/>
                <w:szCs w:val="22"/>
              </w:rPr>
              <w:t xml:space="preserve">📷 SCREENSHOT PLACEHOLDER — HTML Report in Browser</w:t>
            </w:r>
          </w:p>
          <w:p>
            <w:r>
              <w:rPr>
                <w:i/>
                <w:iCs/>
                <w:color w:val="555555"/>
                <w:sz w:val="20"/>
                <w:szCs w:val="20"/>
              </w:rPr>
              <w:t xml:space="preserve">Generate the HTML report (sudo incidenthawk --output ./cases --format html), open the resulting *_report.html file in a browser, and capture a full-page screenshot showing the findings table.</w:t>
            </w:r>
          </w:p>
        </w:tc>
      </w:tr>
    </w:tbl>
    <w:p>
      <w:pPr>
        <w:pStyle w:val="Heading1"/>
        <w:spacing w:after="200" w:before="400"/>
      </w:pPr>
      <w:r>
        <w:t xml:space="preserve">11. Testing &amp; Validation</w:t>
      </w:r>
    </w:p>
    <w:p>
      <w:pPr>
        <w:spacing w:after="160"/>
      </w:pPr>
      <w:r>
        <w:rPr>
          <w:sz w:val="22"/>
          <w:szCs w:val="22"/>
        </w:rPr>
        <w:t xml:space="preserve">IncidentHawk was validated on a live Linux test system by simulating and confirming detection of: a process spawned from a temporary directory, hidden files placed under /tmp, and the presence of SUID/SGID binaries outside the built-in allow-list. Full evidence bundle generation, SHA-256 manifest creation, and .tar.gz archiving were verified to complete successfully in both quick and full collection modes.</w:t>
      </w:r>
    </w:p>
    <w:p>
      <w:pPr>
        <w:pStyle w:val="Heading2"/>
        <w:spacing w:after="150" w:before="300"/>
      </w:pPr>
      <w:r>
        <w:t xml:space="preserve">Detection Coverage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664"/>
      </w:tblGrid>
      <w:tr>
        <w:tc>
          <w:tcPr>
            <w:shd w:fill="1F3864" w:val="clear"/>
          </w:tcPr>
          <w:p>
            <w:r>
              <w:rPr>
                <w:b/>
                <w:bCs/>
                <w:color w:val="FFFFFF"/>
                <w:sz w:val="20"/>
                <w:szCs w:val="20"/>
              </w:rPr>
              <w:t xml:space="preserve">Test Scenario</w:t>
            </w:r>
          </w:p>
        </w:tc>
        <w:tc>
          <w:tcPr>
            <w:shd w:fill="1F3864" w:val="clear"/>
          </w:tcPr>
          <w:p>
            <w:r>
              <w:rPr>
                <w:b/>
                <w:bCs/>
                <w:color w:val="FFFFFF"/>
                <w:sz w:val="20"/>
                <w:szCs w:val="20"/>
              </w:rPr>
              <w:t xml:space="preserve">Detected?</w:t>
            </w:r>
          </w:p>
        </w:tc>
        <w:tc>
          <w:tcPr>
            <w:shd w:fill="1F3864" w:val="clear"/>
          </w:tcPr>
          <w:p>
            <w:r>
              <w:rPr>
                <w:b/>
                <w:bCs/>
                <w:color w:val="FFFFFF"/>
                <w:sz w:val="20"/>
                <w:szCs w:val="20"/>
              </w:rPr>
              <w:t xml:space="preserve">Severity Assigned</w:t>
            </w:r>
          </w:p>
        </w:tc>
      </w:tr>
      <w:tr>
        <w:tc>
          <w:tcPr>
            <w:shd w:fill="FFFFFF" w:val="clear"/>
          </w:tcPr>
          <w:p>
            <w:r>
              <w:rPr>
                <w:sz w:val="20"/>
                <w:szCs w:val="20"/>
              </w:rPr>
              <w:t xml:space="preserve">Non-root UID 0 account</w:t>
            </w:r>
          </w:p>
        </w:tc>
        <w:tc>
          <w:tcPr>
            <w:shd w:fill="E2F0D9" w:val="clear"/>
          </w:tcPr>
          <w:p>
            <w:r>
              <w:rPr>
                <w:sz w:val="20"/>
                <w:szCs w:val="20"/>
              </w:rPr>
              <w:t xml:space="preserve">Yes</w:t>
            </w:r>
          </w:p>
        </w:tc>
        <w:tc>
          <w:tcPr>
            <w:shd w:fill="FFFFFF" w:val="clear"/>
          </w:tcPr>
          <w:p>
            <w:r>
              <w:rPr>
                <w:sz w:val="20"/>
                <w:szCs w:val="20"/>
              </w:rPr>
              <w:t xml:space="preserve">CRITICAL</w:t>
            </w:r>
          </w:p>
        </w:tc>
      </w:tr>
      <w:tr>
        <w:tc>
          <w:tcPr>
            <w:shd w:fill="FFFFFF" w:val="clear"/>
          </w:tcPr>
          <w:p>
            <w:r>
              <w:rPr>
                <w:sz w:val="20"/>
                <w:szCs w:val="20"/>
              </w:rPr>
              <w:t xml:space="preserve">Populated /etc/ld.so.preload</w:t>
            </w:r>
          </w:p>
        </w:tc>
        <w:tc>
          <w:tcPr>
            <w:shd w:fill="E2F0D9" w:val="clear"/>
          </w:tcPr>
          <w:p>
            <w:r>
              <w:rPr>
                <w:sz w:val="20"/>
                <w:szCs w:val="20"/>
              </w:rPr>
              <w:t xml:space="preserve">Yes</w:t>
            </w:r>
          </w:p>
        </w:tc>
        <w:tc>
          <w:tcPr>
            <w:shd w:fill="FFFFFF" w:val="clear"/>
          </w:tcPr>
          <w:p>
            <w:r>
              <w:rPr>
                <w:sz w:val="20"/>
                <w:szCs w:val="20"/>
              </w:rPr>
              <w:t xml:space="preserve">CRITICAL</w:t>
            </w:r>
          </w:p>
        </w:tc>
      </w:tr>
      <w:tr>
        <w:tc>
          <w:tcPr>
            <w:shd w:fill="FFFFFF" w:val="clear"/>
          </w:tcPr>
          <w:p>
            <w:r>
              <w:rPr>
                <w:sz w:val="20"/>
                <w:szCs w:val="20"/>
              </w:rPr>
              <w:t xml:space="preserve">Backdoor port listener</w:t>
            </w:r>
          </w:p>
        </w:tc>
        <w:tc>
          <w:tcPr>
            <w:shd w:fill="E2F0D9" w:val="clear"/>
          </w:tcPr>
          <w:p>
            <w:r>
              <w:rPr>
                <w:sz w:val="20"/>
                <w:szCs w:val="20"/>
              </w:rPr>
              <w:t xml:space="preserve">Yes</w:t>
            </w:r>
          </w:p>
        </w:tc>
        <w:tc>
          <w:tcPr>
            <w:shd w:fill="FFFFFF" w:val="clear"/>
          </w:tcPr>
          <w:p>
            <w:r>
              <w:rPr>
                <w:sz w:val="20"/>
                <w:szCs w:val="20"/>
              </w:rPr>
              <w:t xml:space="preserve">CRITICAL</w:t>
            </w:r>
          </w:p>
        </w:tc>
      </w:tr>
      <w:tr>
        <w:tc>
          <w:tcPr>
            <w:shd w:fill="FFFFFF" w:val="clear"/>
          </w:tcPr>
          <w:p>
            <w:r>
              <w:rPr>
                <w:sz w:val="20"/>
                <w:szCs w:val="20"/>
              </w:rPr>
              <w:t xml:space="preserve">Process from /tmp or /dev/shm</w:t>
            </w:r>
          </w:p>
        </w:tc>
        <w:tc>
          <w:tcPr>
            <w:shd w:fill="E2F0D9" w:val="clear"/>
          </w:tcPr>
          <w:p>
            <w:r>
              <w:rPr>
                <w:sz w:val="20"/>
                <w:szCs w:val="20"/>
              </w:rPr>
              <w:t xml:space="preserve">Yes</w:t>
            </w:r>
          </w:p>
        </w:tc>
        <w:tc>
          <w:tcPr>
            <w:shd w:fill="FFFFFF" w:val="clear"/>
          </w:tcPr>
          <w:p>
            <w:r>
              <w:rPr>
                <w:sz w:val="20"/>
                <w:szCs w:val="20"/>
              </w:rPr>
              <w:t xml:space="preserve">HIGH</w:t>
            </w:r>
          </w:p>
        </w:tc>
      </w:tr>
      <w:tr>
        <w:tc>
          <w:tcPr>
            <w:shd w:fill="FFFFFF" w:val="clear"/>
          </w:tcPr>
          <w:p>
            <w:r>
              <w:rPr>
                <w:sz w:val="20"/>
                <w:szCs w:val="20"/>
              </w:rPr>
              <w:t xml:space="preserve">Suspicious cron entry (reverse shell)</w:t>
            </w:r>
          </w:p>
        </w:tc>
        <w:tc>
          <w:tcPr>
            <w:shd w:fill="E2F0D9" w:val="clear"/>
          </w:tcPr>
          <w:p>
            <w:r>
              <w:rPr>
                <w:sz w:val="20"/>
                <w:szCs w:val="20"/>
              </w:rPr>
              <w:t xml:space="preserve">Yes</w:t>
            </w:r>
          </w:p>
        </w:tc>
        <w:tc>
          <w:tcPr>
            <w:shd w:fill="FFFFFF" w:val="clear"/>
          </w:tcPr>
          <w:p>
            <w:r>
              <w:rPr>
                <w:sz w:val="20"/>
                <w:szCs w:val="20"/>
              </w:rPr>
              <w:t xml:space="preserve">HIGH</w:t>
            </w:r>
          </w:p>
        </w:tc>
      </w:tr>
      <w:tr>
        <w:tc>
          <w:tcPr>
            <w:shd w:fill="FFFFFF" w:val="clear"/>
          </w:tcPr>
          <w:p>
            <w:r>
              <w:rPr>
                <w:sz w:val="20"/>
                <w:szCs w:val="20"/>
              </w:rPr>
              <w:t xml:space="preserve">Hidden files in temp directories</w:t>
            </w:r>
          </w:p>
        </w:tc>
        <w:tc>
          <w:tcPr>
            <w:shd w:fill="E2F0D9" w:val="clear"/>
          </w:tcPr>
          <w:p>
            <w:r>
              <w:rPr>
                <w:sz w:val="20"/>
                <w:szCs w:val="20"/>
              </w:rPr>
              <w:t xml:space="preserve">Yes</w:t>
            </w:r>
          </w:p>
        </w:tc>
        <w:tc>
          <w:tcPr>
            <w:shd w:fill="FFFFFF" w:val="clear"/>
          </w:tcPr>
          <w:p>
            <w:r>
              <w:rPr>
                <w:sz w:val="20"/>
                <w:szCs w:val="20"/>
              </w:rPr>
              <w:t xml:space="preserve">MEDIUM</w:t>
            </w:r>
          </w:p>
        </w:tc>
      </w:tr>
      <w:tr>
        <w:tc>
          <w:tcPr>
            <w:shd w:fill="FFFFFF" w:val="clear"/>
          </w:tcPr>
          <w:p>
            <w:r>
              <w:rPr>
                <w:sz w:val="20"/>
                <w:szCs w:val="20"/>
              </w:rPr>
              <w:t xml:space="preserve">Unusual SUID/SGID binaries</w:t>
            </w:r>
          </w:p>
        </w:tc>
        <w:tc>
          <w:tcPr>
            <w:shd w:fill="E2F0D9" w:val="clear"/>
          </w:tcPr>
          <w:p>
            <w:r>
              <w:rPr>
                <w:sz w:val="20"/>
                <w:szCs w:val="20"/>
              </w:rPr>
              <w:t xml:space="preserve">Yes</w:t>
            </w:r>
          </w:p>
        </w:tc>
        <w:tc>
          <w:tcPr>
            <w:shd w:fill="FFFFFF" w:val="clear"/>
          </w:tcPr>
          <w:p>
            <w:r>
              <w:rPr>
                <w:sz w:val="20"/>
                <w:szCs w:val="20"/>
              </w:rPr>
              <w:t xml:space="preserve">LOW</w:t>
            </w:r>
          </w:p>
        </w:tc>
      </w:tr>
      <w:tr>
        <w:tc>
          <w:tcPr>
            <w:shd w:fill="FFFFFF" w:val="clear"/>
          </w:tcPr>
          <w:p>
            <w:r>
              <w:rPr>
                <w:sz w:val="20"/>
                <w:szCs w:val="20"/>
              </w:rPr>
              <w:t xml:space="preserve">Evidence bundle + SHA-256 manifest</w:t>
            </w:r>
          </w:p>
        </w:tc>
        <w:tc>
          <w:tcPr>
            <w:shd w:fill="E2F0D9" w:val="clear"/>
          </w:tcPr>
          <w:p>
            <w:r>
              <w:rPr>
                <w:sz w:val="20"/>
                <w:szCs w:val="20"/>
              </w:rPr>
              <w:t xml:space="preserve">Yes</w:t>
            </w:r>
          </w:p>
        </w:tc>
        <w:tc>
          <w:tcPr>
            <w:shd w:fill="FFFFFF" w:val="clear"/>
          </w:tcPr>
          <w:p>
            <w:r>
              <w:rPr>
                <w:sz w:val="20"/>
                <w:szCs w:val="20"/>
              </w:rPr>
              <w:t xml:space="preserve">N/A</w:t>
            </w:r>
          </w:p>
        </w:tc>
      </w:tr>
      <w:tr>
        <w:tc>
          <w:tcPr>
            <w:shd w:fill="FFFFFF" w:val="clear"/>
          </w:tcPr>
          <w:p>
            <w:r>
              <w:rPr>
                <w:sz w:val="20"/>
                <w:szCs w:val="20"/>
              </w:rPr>
              <w:t xml:space="preserve">.tar.gz archive creation</w:t>
            </w:r>
          </w:p>
        </w:tc>
        <w:tc>
          <w:tcPr>
            <w:shd w:fill="E2F0D9" w:val="clear"/>
          </w:tcPr>
          <w:p>
            <w:r>
              <w:rPr>
                <w:sz w:val="20"/>
                <w:szCs w:val="20"/>
              </w:rPr>
              <w:t xml:space="preserve">Yes</w:t>
            </w:r>
          </w:p>
        </w:tc>
        <w:tc>
          <w:tcPr>
            <w:shd w:fill="FFFFFF" w:val="clear"/>
          </w:tcPr>
          <w:p>
            <w:r>
              <w:rPr>
                <w:sz w:val="20"/>
                <w:szCs w:val="20"/>
              </w:rPr>
              <w:t xml:space="preserve">N/A</w:t>
            </w:r>
          </w:p>
        </w:tc>
      </w:tr>
    </w:tbl>
    <w:p>
      <w:pPr>
        <w:pStyle w:val="Heading1"/>
        <w:spacing w:after="200" w:before="400"/>
      </w:pPr>
      <w:r>
        <w:t xml:space="preserve">12. Future Enhancements</w:t>
      </w:r>
    </w:p>
    <w:p>
      <w:pPr>
        <w:pStyle w:val="ListParagraph"/>
        <w:numPr>
          <w:ilvl w:val="0"/>
          <w:numId w:val="2"/>
        </w:numPr>
        <w:spacing w:after="80"/>
      </w:pPr>
      <w:r>
        <w:rPr>
          <w:sz w:val="22"/>
          <w:szCs w:val="22"/>
        </w:rPr>
        <w:t xml:space="preserve">Optional live monitoring mode with scheduled recurring triage snapshots.</w:t>
      </w:r>
    </w:p>
    <w:p>
      <w:pPr>
        <w:pStyle w:val="ListParagraph"/>
        <w:numPr>
          <w:ilvl w:val="0"/>
          <w:numId w:val="2"/>
        </w:numPr>
        <w:spacing w:after="80"/>
      </w:pPr>
      <w:r>
        <w:rPr>
          <w:sz w:val="22"/>
          <w:szCs w:val="22"/>
        </w:rPr>
        <w:t xml:space="preserve">Memory acquisition integration (e.g. AVML or LiME) for full memory forensics.</w:t>
      </w:r>
    </w:p>
    <w:p>
      <w:pPr>
        <w:pStyle w:val="ListParagraph"/>
        <w:numPr>
          <w:ilvl w:val="0"/>
          <w:numId w:val="2"/>
        </w:numPr>
        <w:spacing w:after="80"/>
      </w:pPr>
      <w:r>
        <w:rPr>
          <w:sz w:val="22"/>
          <w:szCs w:val="22"/>
        </w:rPr>
        <w:t xml:space="preserve">Configurable heuristic rules via an external YAML/JSON rules file.</w:t>
      </w:r>
    </w:p>
    <w:p>
      <w:pPr>
        <w:pStyle w:val="ListParagraph"/>
        <w:numPr>
          <w:ilvl w:val="0"/>
          <w:numId w:val="2"/>
        </w:numPr>
        <w:spacing w:after="80"/>
      </w:pPr>
      <w:r>
        <w:rPr>
          <w:sz w:val="22"/>
          <w:szCs w:val="22"/>
        </w:rPr>
        <w:t xml:space="preserve">Digital signature (GPG) of the evidence bundle for stronger chain-of-custody guarantees.</w:t>
      </w:r>
    </w:p>
    <w:p>
      <w:pPr>
        <w:pStyle w:val="ListParagraph"/>
        <w:numPr>
          <w:ilvl w:val="0"/>
          <w:numId w:val="2"/>
        </w:numPr>
        <w:spacing w:after="80"/>
      </w:pPr>
      <w:r>
        <w:rPr>
          <w:sz w:val="22"/>
          <w:szCs w:val="22"/>
        </w:rPr>
        <w:t xml:space="preserve">Optional integration with SOAR platforms for automated case creation.</w:t>
      </w:r>
    </w:p>
    <w:p>
      <w:pPr>
        <w:pStyle w:val="Heading1"/>
        <w:spacing w:after="200" w:before="400"/>
      </w:pPr>
      <w:r>
        <w:t xml:space="preserve">13. Conclusion</w:t>
      </w:r>
    </w:p>
    <w:p>
      <w:pPr>
        <w:spacing w:after="160"/>
      </w:pPr>
      <w:r>
        <w:rPr>
          <w:sz w:val="22"/>
          <w:szCs w:val="22"/>
        </w:rPr>
        <w:t xml:space="preserve">IncidentHawk meets its design goal of automating the critical first steps of Linux incident response: fast, read-only, dependency-free evidence collection paired with built-in threat heuristics and a defensible, hash-verified evidence bundle. Its modular collector design makes it straightforward to extend with new artifact types or detection rules as new attacker techniques emerge.</w:t>
      </w:r>
    </w:p>
    <w:p>
      <w:pPr>
        <w:spacing w:after="300"/>
      </w:pPr>
    </w:p>
    <w:p>
      <w:pPr>
        <w:spacing w:after="160"/>
      </w:pPr>
      <w:r>
        <w:rPr>
          <w:i/>
          <w:iCs/>
          <w:color w:val="777777"/>
          <w:sz w:val="22"/>
          <w:szCs w:val="22"/>
        </w:rPr>
        <w:t xml:space="preserve">— End of Report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2026-07-11T20:57:43.978Z</dcterms:created>
  <dcterms:modified xsi:type="dcterms:W3CDTF">2026-07-11T20:57:43.993Z</dcterms:modified>
</cp:coreProperties>
</file>

<file path=docProps/custom.xml><?xml version="1.0" encoding="utf-8"?>
<Properties xmlns="http://schemas.openxmlformats.org/officeDocument/2006/custom-properties" xmlns:vt="http://schemas.openxmlformats.org/officeDocument/2006/docPropsVTypes"/>
</file>