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Functional Specification Document</w:t>
      </w:r>
    </w:p>
    <w:p>
      <w:pPr>
        <w:spacing w:after="400"/>
        <w:jc w:val="center"/>
      </w:pPr>
      <w:r>
        <w:rPr>
          <w:color w:val="555555"/>
          <w:sz w:val="28"/>
          <w:szCs w:val="28"/>
        </w:rPr>
        <w:t xml:space="preserve">Module: User Login</w:t>
      </w:r>
    </w:p>
    <w:p>
      <w:pPr>
        <w:pStyle w:val="Heading1"/>
        <w:spacing w:after="150" w:before="300"/>
      </w:pPr>
      <w:r>
        <w:t xml:space="preserve">1. Overview</w:t>
      </w:r>
    </w:p>
    <w:p>
      <w:pPr>
        <w:spacing w:after="120"/>
      </w:pPr>
      <w:r>
        <w:t xml:space="preserve">This document describes the functional requirements for the User Login module of the CustomerPortal application. It covers authentication, account lockout, and password reset initiation. It does not cover session management, which is specified separately.</w:t>
      </w:r>
    </w:p>
    <w:p>
      <w:pPr>
        <w:pStyle w:val="Heading1"/>
        <w:spacing w:after="150" w:before="300"/>
      </w:pPr>
      <w:r>
        <w:t xml:space="preserve">2. Functional Requirements</w:t>
      </w:r>
    </w:p>
    <w:p>
      <w:pPr>
        <w:pStyle w:val="Heading2"/>
        <w:spacing w:after="120" w:before="250"/>
      </w:pPr>
      <w:r>
        <w:t xml:space="preserve">2.1 Authentication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00"/>
      </w:tblGrid>
      <w:tr>
        <w:trPr>
          <w:tblHeader/>
        </w:trPr>
        <w:tc>
          <w:tcPr>
            <w:tcW w:type="dxa" w:w="1000"/>
            <w:shd w:fill="2F5496" w:color="auto" w:val="clear"/>
          </w:tcPr>
          <w:p>
            <w:r>
              <w:rPr>
                <w:b/>
                <w:bCs/>
                <w:color w:val="FFFFFF"/>
              </w:rPr>
              <w:t xml:space="preserve">ID</w:t>
            </w:r>
          </w:p>
        </w:tc>
        <w:tc>
          <w:tcPr>
            <w:tcW w:type="dxa" w:w="3200"/>
            <w:shd w:fill="2F5496" w:color="auto" w:val="clear"/>
          </w:tcPr>
          <w:p>
            <w:r>
              <w:rPr>
                <w:b/>
                <w:bCs/>
                <w:color w:val="FFFFFF"/>
              </w:rPr>
              <w:t xml:space="preserve">Requirement</w:t>
            </w:r>
          </w:p>
        </w:tc>
        <w:tc>
          <w:tcPr>
            <w:tcW w:type="dxa" w:w="5300"/>
            <w:shd w:fill="2F5496" w:color="auto" w:val="clear"/>
          </w:tcPr>
          <w:p>
            <w:r>
              <w:rPr>
                <w:b/>
                <w:bCs/>
                <w:color w:val="FFFFFF"/>
              </w:rPr>
              <w:t xml:space="preserve">Details</w:t>
            </w:r>
          </w:p>
        </w:tc>
      </w:tr>
      <w:tr>
        <w:tc>
          <w:tcPr>
            <w:tcW w:type="dxa" w:w="1000"/>
          </w:tcPr>
          <w:p>
            <w:r>
              <w:t xml:space="preserve">FR-01</w:t>
            </w:r>
          </w:p>
        </w:tc>
        <w:tc>
          <w:tcPr>
            <w:tcW w:type="dxa" w:w="3200"/>
          </w:tcPr>
          <w:p>
            <w:r>
              <w:t xml:space="preserve">User Login</w:t>
            </w:r>
          </w:p>
        </w:tc>
        <w:tc>
          <w:tcPr>
            <w:tcW w:type="dxa" w:w="5300"/>
          </w:tcPr>
          <w:p>
            <w:r>
              <w:t xml:space="preserve">A registered user shall be able to log in using their email address and password. See Figure 1 for the login screen layout.</w:t>
            </w:r>
          </w:p>
        </w:tc>
      </w:tr>
      <w:tr>
        <w:tc>
          <w:tcPr>
            <w:tcW w:type="dxa" w:w="1000"/>
          </w:tcPr>
          <w:p>
            <w:r>
              <w:t xml:space="preserve">FR-02</w:t>
            </w:r>
          </w:p>
        </w:tc>
        <w:tc>
          <w:tcPr>
            <w:tcW w:type="dxa" w:w="3200"/>
          </w:tcPr>
          <w:p>
            <w:r>
              <w:t xml:space="preserve">Email Format Validation</w:t>
            </w:r>
          </w:p>
        </w:tc>
        <w:tc>
          <w:tcPr>
            <w:tcW w:type="dxa" w:w="5300"/>
          </w:tcPr>
          <w:p>
            <w:r>
              <w:t xml:space="preserve">The Email field shall accept only values in a valid email format (e.g. name@domain.com). An inline error shall be shown for invalid formats.</w:t>
            </w:r>
          </w:p>
        </w:tc>
      </w:tr>
      <w:tr>
        <w:tc>
          <w:tcPr>
            <w:tcW w:type="dxa" w:w="1000"/>
          </w:tcPr>
          <w:p>
            <w:r>
              <w:t xml:space="preserve">FR-03</w:t>
            </w:r>
          </w:p>
        </w:tc>
        <w:tc>
          <w:tcPr>
            <w:tcW w:type="dxa" w:w="3200"/>
          </w:tcPr>
          <w:p>
            <w:r>
              <w:t xml:space="preserve">Password Rules</w:t>
            </w:r>
          </w:p>
        </w:tc>
        <w:tc>
          <w:tcPr>
            <w:tcW w:type="dxa" w:w="5300"/>
          </w:tcPr>
          <w:p>
            <w:r>
              <w:t xml:space="preserve">See Table 2.1.1 for password composition rules enforced at account creation and reset.</w:t>
            </w:r>
          </w:p>
        </w:tc>
      </w:tr>
    </w:tbl>
    <w:p>
      <w:pPr>
        <w:spacing w:after="100" w:before="200"/>
      </w:pPr>
      <w:r>
        <w:rPr>
          <w:b/>
          <w:bCs/>
          <w:i/>
          <w:iCs/>
        </w:rPr>
        <w:t xml:space="preserve">Table 2.1.1: Password Composition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2F5496" w:color="auto" w:val="clear"/>
          </w:tcPr>
          <w:p>
            <w:r>
              <w:rPr>
                <w:b/>
                <w:bCs/>
                <w:color w:val="FFFFFF"/>
              </w:rPr>
              <w:t xml:space="preserve">Rule</w:t>
            </w:r>
          </w:p>
        </w:tc>
        <w:tc>
          <w:tcPr>
            <w:tcW w:type="dxa" w:w="4750"/>
            <w:shd w:fill="2F5496" w:color="auto" w:val="clear"/>
          </w:tcPr>
          <w:p>
            <w:r>
              <w:rPr>
                <w:b/>
                <w:bCs/>
                <w:color w:val="FFFFFF"/>
              </w:rPr>
              <w:t xml:space="preserve">Value</w:t>
            </w:r>
          </w:p>
        </w:tc>
      </w:tr>
      <w:tr>
        <w:tc>
          <w:tcPr>
            <w:tcW w:type="dxa" w:w="4750"/>
          </w:tcPr>
          <w:p>
            <w:r>
              <w:t xml:space="preserve">Minimum length</w:t>
            </w:r>
          </w:p>
        </w:tc>
        <w:tc>
          <w:tcPr>
            <w:tcW w:type="dxa" w:w="4750"/>
          </w:tcPr>
          <w:p>
            <w:r>
              <w:t xml:space="preserve">8 characters</w:t>
            </w:r>
          </w:p>
        </w:tc>
      </w:tr>
      <w:tr>
        <w:tc>
          <w:tcPr>
            <w:tcW w:type="dxa" w:w="4750"/>
          </w:tcPr>
          <w:p>
            <w:r>
              <w:t xml:space="preserve">Maximum length</w:t>
            </w:r>
          </w:p>
        </w:tc>
        <w:tc>
          <w:tcPr>
            <w:tcW w:type="dxa" w:w="4750"/>
          </w:tcPr>
          <w:p>
            <w:r>
              <w:t xml:space="preserve">20 characters</w:t>
            </w:r>
          </w:p>
        </w:tc>
      </w:tr>
      <w:tr>
        <w:tc>
          <w:tcPr>
            <w:tcW w:type="dxa" w:w="4750"/>
          </w:tcPr>
          <w:p>
            <w:r>
              <w:t xml:space="preserve">Must contain</w:t>
            </w:r>
          </w:p>
        </w:tc>
        <w:tc>
          <w:tcPr>
            <w:tcW w:type="dxa" w:w="4750"/>
          </w:tcPr>
          <w:p>
            <w:r>
              <w:t xml:space="preserve">At least 1 uppercase letter, 1 number</w:t>
            </w:r>
          </w:p>
        </w:tc>
      </w:tr>
      <w:tr>
        <w:tc>
          <w:tcPr>
            <w:tcW w:type="dxa" w:w="4750"/>
          </w:tcPr>
          <w:p>
            <w:r>
              <w:t xml:space="preserve">Special characters</w:t>
            </w:r>
          </w:p>
        </w:tc>
        <w:tc>
          <w:tcPr>
            <w:tcW w:type="dxa" w:w="4750"/>
          </w:tcPr>
          <w:p>
            <w:r>
              <w:t xml:space="preserve">Allowed but not required</w:t>
            </w:r>
          </w:p>
        </w:tc>
      </w:tr>
    </w:tbl>
    <w:p>
      <w:r>
        <w:br w:type="page"/>
      </w:r>
    </w:p>
    <w:p>
      <w:pPr>
        <w:pStyle w:val="Heading2"/>
        <w:spacing w:after="120" w:before="250"/>
      </w:pPr>
      <w:r>
        <w:t xml:space="preserve">2.2 Account Lockout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00"/>
      </w:tblGrid>
      <w:tr>
        <w:trPr>
          <w:tblHeader/>
        </w:trPr>
        <w:tc>
          <w:tcPr>
            <w:tcW w:type="dxa" w:w="1000"/>
            <w:shd w:fill="2F5496" w:color="auto" w:val="clear"/>
          </w:tcPr>
          <w:p>
            <w:r>
              <w:rPr>
                <w:b/>
                <w:bCs/>
                <w:color w:val="FFFFFF"/>
              </w:rPr>
              <w:t xml:space="preserve">ID</w:t>
            </w:r>
          </w:p>
        </w:tc>
        <w:tc>
          <w:tcPr>
            <w:tcW w:type="dxa" w:w="3200"/>
            <w:shd w:fill="2F5496" w:color="auto" w:val="clear"/>
          </w:tcPr>
          <w:p>
            <w:r>
              <w:rPr>
                <w:b/>
                <w:bCs/>
                <w:color w:val="FFFFFF"/>
              </w:rPr>
              <w:t xml:space="preserve">Requirement</w:t>
            </w:r>
          </w:p>
        </w:tc>
        <w:tc>
          <w:tcPr>
            <w:tcW w:type="dxa" w:w="5300"/>
            <w:shd w:fill="2F5496" w:color="auto" w:val="clear"/>
          </w:tcPr>
          <w:p>
            <w:r>
              <w:rPr>
                <w:b/>
                <w:bCs/>
                <w:color w:val="FFFFFF"/>
              </w:rPr>
              <w:t xml:space="preserve">Details</w:t>
            </w:r>
          </w:p>
        </w:tc>
      </w:tr>
      <w:tr>
        <w:tc>
          <w:tcPr>
            <w:tcW w:type="dxa" w:w="1000"/>
          </w:tcPr>
          <w:p>
            <w:r>
              <w:t xml:space="preserve">FR-04</w:t>
            </w:r>
          </w:p>
        </w:tc>
        <w:tc>
          <w:tcPr>
            <w:tcW w:type="dxa" w:w="3200"/>
          </w:tcPr>
          <w:p>
            <w:r>
              <w:t xml:space="preserve">Failed Attempt Tracking</w:t>
            </w:r>
          </w:p>
        </w:tc>
        <w:tc>
          <w:tcPr>
            <w:tcW w:type="dxa" w:w="5300"/>
          </w:tcPr>
          <w:p>
            <w:r>
              <w:t xml:space="preserve">The system shall track consecutive failed login attempts per account. See Figure 2 for the full decision flow.</w:t>
            </w:r>
          </w:p>
        </w:tc>
      </w:tr>
      <w:tr>
        <w:tc>
          <w:tcPr>
            <w:tcW w:type="dxa" w:w="1000"/>
          </w:tcPr>
          <w:p>
            <w:r>
              <w:t xml:space="preserve">FR-05</w:t>
            </w:r>
          </w:p>
        </w:tc>
        <w:tc>
          <w:tcPr>
            <w:tcW w:type="dxa" w:w="3200"/>
          </w:tcPr>
          <w:p>
            <w:r>
              <w:t xml:space="preserve">Account Lockout</w:t>
            </w:r>
          </w:p>
        </w:tc>
        <w:tc>
          <w:tcPr>
            <w:tcW w:type="dxa" w:w="5300"/>
          </w:tcPr>
          <w:p>
            <w:r>
              <w:t xml:space="preserve">After 5 consecutive failed attempts, the account shall be locked for 15 minutes. During lockout, login attempts shall be rejected even with correct credentials.</w:t>
            </w:r>
          </w:p>
        </w:tc>
      </w:tr>
      <w:tr>
        <w:tc>
          <w:tcPr>
            <w:tcW w:type="dxa" w:w="1000"/>
          </w:tcPr>
          <w:p>
            <w:r>
              <w:t xml:space="preserve">FR-06</w:t>
            </w:r>
          </w:p>
        </w:tc>
        <w:tc>
          <w:tcPr>
            <w:tcW w:type="dxa" w:w="3200"/>
          </w:tcPr>
          <w:p>
            <w:r>
              <w:t xml:space="preserve">Lockout Notice</w:t>
            </w:r>
          </w:p>
        </w:tc>
        <w:tc>
          <w:tcPr>
            <w:tcW w:type="dxa" w:w="5300"/>
          </w:tcPr>
          <w:p>
            <w:r>
              <w:t xml:space="preserve"/>
            </w:r>
          </w:p>
        </w:tc>
      </w:tr>
    </w:tbl>
    <w:p>
      <w:pPr>
        <w:spacing w:after="120"/>
      </w:pPr>
      <w:r>
        <w:rPr>
          <w:i/>
          <w:iCs/>
          <w:color w:val="888888"/>
        </w:rPr>
        <w:t xml:space="preserve">Note: FR-06 wording to be confirmed with the BA — see open item in Section 4.</w:t>
      </w:r>
    </w:p>
    <w:p>
      <w:pPr>
        <w:pStyle w:val="Heading2"/>
        <w:spacing w:after="120" w:before="250"/>
      </w:pPr>
      <w:r>
        <w:t xml:space="preserve">2.3 Password Reset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00"/>
      </w:tblGrid>
      <w:tr>
        <w:trPr>
          <w:tblHeader/>
        </w:trPr>
        <w:tc>
          <w:tcPr>
            <w:tcW w:type="dxa" w:w="1000"/>
            <w:shd w:fill="2F5496" w:color="auto" w:val="clear"/>
          </w:tcPr>
          <w:p>
            <w:r>
              <w:rPr>
                <w:b/>
                <w:bCs/>
                <w:color w:val="FFFFFF"/>
              </w:rPr>
              <w:t xml:space="preserve">ID</w:t>
            </w:r>
          </w:p>
        </w:tc>
        <w:tc>
          <w:tcPr>
            <w:tcW w:type="dxa" w:w="3200"/>
            <w:shd w:fill="2F5496" w:color="auto" w:val="clear"/>
          </w:tcPr>
          <w:p>
            <w:r>
              <w:rPr>
                <w:b/>
                <w:bCs/>
                <w:color w:val="FFFFFF"/>
              </w:rPr>
              <w:t xml:space="preserve">Requirement</w:t>
            </w:r>
          </w:p>
        </w:tc>
        <w:tc>
          <w:tcPr>
            <w:tcW w:type="dxa" w:w="5300"/>
            <w:shd w:fill="2F5496" w:color="auto" w:val="clear"/>
          </w:tcPr>
          <w:p>
            <w:r>
              <w:rPr>
                <w:b/>
                <w:bCs/>
                <w:color w:val="FFFFFF"/>
              </w:rPr>
              <w:t xml:space="preserve">Details</w:t>
            </w:r>
          </w:p>
        </w:tc>
      </w:tr>
      <w:tr>
        <w:tc>
          <w:tcPr>
            <w:tcW w:type="dxa" w:w="1000"/>
          </w:tcPr>
          <w:p>
            <w:r>
              <w:t xml:space="preserve">FR-07</w:t>
            </w:r>
          </w:p>
        </w:tc>
        <w:tc>
          <w:tcPr>
            <w:tcW w:type="dxa" w:w="3200"/>
          </w:tcPr>
          <w:p>
            <w:r>
              <w:t xml:space="preserve">Forgot Password Link</w:t>
            </w:r>
          </w:p>
        </w:tc>
        <w:tc>
          <w:tcPr>
            <w:tcW w:type="dxa" w:w="5300"/>
          </w:tcPr>
          <w:p>
            <w:r>
              <w:t xml:space="preserve">The login screen shall provide a "Forgot password?" link, as shown in Figure 1.</w:t>
            </w:r>
          </w:p>
        </w:tc>
      </w:tr>
      <w:tr>
        <w:tc>
          <w:tcPr>
            <w:tcW w:type="dxa" w:w="1000"/>
          </w:tcPr>
          <w:p>
            <w:r>
              <w:t xml:space="preserve">FR-08</w:t>
            </w:r>
          </w:p>
        </w:tc>
        <w:tc>
          <w:tcPr>
            <w:tcW w:type="dxa" w:w="3200"/>
          </w:tcPr>
          <w:p>
            <w:r>
              <w:t xml:space="preserve">Reset Link Delivery</w:t>
            </w:r>
          </w:p>
        </w:tc>
        <w:tc>
          <w:tcPr>
            <w:tcW w:type="dxa" w:w="5300"/>
          </w:tcPr>
          <w:p>
            <w:r>
              <w:t xml:space="preserve">On request, a reset link shall be emailed to the account's registered address. The link shall expire after 30 minutes.</w:t>
            </w:r>
          </w:p>
        </w:tc>
      </w:tr>
      <w:tr>
        <w:tc>
          <w:tcPr>
            <w:tcW w:type="dxa" w:w="1000"/>
          </w:tcPr>
          <w:p>
            <w:r>
              <w:t xml:space="preserve">FR-09</w:t>
            </w:r>
          </w:p>
        </w:tc>
        <w:tc>
          <w:tcPr>
            <w:tcW w:type="dxa" w:w="3200"/>
          </w:tcPr>
          <w:p>
            <w:r>
              <w:t xml:space="preserve">System Performance</w:t>
            </w:r>
          </w:p>
        </w:tc>
        <w:tc>
          <w:tcPr>
            <w:tcW w:type="dxa" w:w="5300"/>
          </w:tcPr>
          <w:p>
            <w:r>
              <w:t xml:space="preserve">The login process should feel fast and responsive to the user.</w:t>
            </w:r>
          </w:p>
        </w:tc>
      </w:tr>
    </w:tbl>
    <w:p>
      <w:pPr>
        <w:pStyle w:val="Heading1"/>
        <w:spacing w:after="150" w:before="300"/>
      </w:pPr>
      <w:r>
        <w:t xml:space="preserve">3. UI Reference</w:t>
      </w:r>
    </w:p>
    <w:p>
      <w:pPr>
        <w:spacing w:after="120"/>
      </w:pPr>
      <w:r>
        <w:t xml:space="preserve">Figure 1 shows the login screen layout referenced in FR-01, FR-02, and FR-07.</w:t>
      </w:r>
    </w:p>
    <w:p>
      <w:pPr>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200400"/>
                    </a:xfrm>
                    <a:prstGeom prst="rect">
                      <a:avLst/>
                    </a:prstGeom>
                  </pic:spPr>
                </pic:pic>
              </a:graphicData>
            </a:graphic>
          </wp:inline>
        </w:drawing>
      </w:r>
    </w:p>
    <w:p>
      <w:r>
        <w:br w:type="page"/>
      </w:r>
    </w:p>
    <w:p>
      <w:pPr>
        <w:spacing w:after="120"/>
      </w:pPr>
      <w:r>
        <w:t xml:space="preserve">Figure 2 shows the decision flow referenced in FR-04 and FR-05.</w:t>
      </w:r>
    </w:p>
    <w:p>
      <w:pPr>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43175"/>
                    </a:xfrm>
                    <a:prstGeom prst="rect">
                      <a:avLst/>
                    </a:prstGeom>
                  </pic:spPr>
                </pic:pic>
              </a:graphicData>
            </a:graphic>
          </wp:inline>
        </w:drawing>
      </w:r>
    </w:p>
    <w:p>
      <w:pPr>
        <w:pStyle w:val="Heading1"/>
        <w:spacing w:after="150" w:before="300"/>
      </w:pPr>
      <w:r>
        <w:t xml:space="preserve">4. Open Items</w:t>
      </w:r>
    </w:p>
    <w:p>
      <w:pPr>
        <w:pStyle w:val="ListParagraph"/>
        <w:numPr>
          <w:ilvl w:val="0"/>
          <w:numId w:val="1"/>
        </w:numPr>
        <w:spacing w:after="60"/>
      </w:pPr>
      <w:r>
        <w:t xml:space="preserve">FR-06: exact wording of the lockout notice message is not yet defined — confirm with BA.</w:t>
      </w:r>
    </w:p>
    <w:p>
      <w:pPr>
        <w:pStyle w:val="ListParagraph"/>
        <w:numPr>
          <w:ilvl w:val="0"/>
          <w:numId w:val="1"/>
        </w:numPr>
        <w:spacing w:after="60"/>
      </w:pPr>
      <w:r>
        <w:t xml:space="preserve">FR-09: "fast and responsive" has no defined performance target — needs a measurable threshold.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16f0992cb24e6065108b4f7283e50f8f847671.png"/><Relationship Id="rId8" Type="http://schemas.openxmlformats.org/officeDocument/2006/relationships/image" Target="media/3fde929b3e9029ac002579b3ebc632509b0e665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2026-09-22T08:02:04.564Z</dcterms:created>
  <dcterms:modified xsi:type="dcterms:W3CDTF">2026-09-22T08:02:04.564Z</dcterms:modified>
</cp:coreProperties>
</file>

<file path=docProps/custom.xml><?xml version="1.0" encoding="utf-8"?>
<Properties xmlns="http://schemas.openxmlformats.org/officeDocument/2006/custom-properties" xmlns:vt="http://schemas.openxmlformats.org/officeDocument/2006/docPropsVTypes"/>
</file>