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Deteksi Alergen pada Komposisi Produk Pangan Kemasan Menggunakan Word2Vec–BiLSTM dan Fine-Tuning IndoBERT dengan Protokol Evaluasi Anti-Leakage</w:t>
      </w:r>
    </w:p>
    <w:p/>
    <w:p>
      <w:r>
        <w:fldChar w:fldCharType="begin"/>
        <w:instrText xml:space="preserve">TOC \o "1-3" \h \z \u</w:instrText>
        <w:fldChar w:fldCharType="end"/>
      </w:r>
    </w:p>
    <w:p/>
    <w:p>
      <w:pPr>
        <w:pStyle w:val="Heading1"/>
      </w:pPr>
      <w:r>
        <w:t>3.  METODOLOGI PENELITIAN</w:t>
      </w:r>
    </w:p>
    <w:p>
      <w:pPr>
        <w:spacing w:after="120" w:line="276" w:lineRule="auto"/>
      </w:pPr>
      <w:r>
        <w:rPr>
          <w:rFonts w:ascii="Times New Roman" w:hAnsi="Times New Roman"/>
          <w:sz w:val="24"/>
        </w:rPr>
        <w:t xml:space="preserve">Penelitian ini dirancang sebagai penelitian eksperimental komparatif untuk menjawab dua pertanyaan utama. </w:t>
      </w:r>
      <w:r>
        <w:rPr>
          <w:rFonts w:ascii="Times New Roman" w:hAnsi="Times New Roman"/>
          <w:b/>
          <w:i w:val="0"/>
          <w:sz w:val="24"/>
        </w:rPr>
        <w:t>Pertama</w:t>
      </w:r>
      <w:r>
        <w:rPr>
          <w:rFonts w:ascii="Times New Roman" w:hAnsi="Times New Roman"/>
          <w:sz w:val="24"/>
        </w:rPr>
        <w:t>, seberapa akurat model Word2Vec–BiLSTM yang dilatih dengan protokol anti-leakage dalam mengklasifikasikan teks komposisi produk pangan sebagai aman (</w:t>
      </w:r>
      <w:r>
        <w:rPr>
          <w:rFonts w:ascii="Times New Roman" w:hAnsi="Times New Roman"/>
          <w:b w:val="0"/>
          <w:i/>
          <w:sz w:val="24"/>
        </w:rPr>
        <w:t>safe</w:t>
      </w:r>
      <w:r>
        <w:rPr>
          <w:rFonts w:ascii="Times New Roman" w:hAnsi="Times New Roman"/>
          <w:sz w:val="24"/>
        </w:rPr>
        <w:t>) atau tidak aman (</w:t>
      </w:r>
      <w:r>
        <w:rPr>
          <w:rFonts w:ascii="Times New Roman" w:hAnsi="Times New Roman"/>
          <w:b w:val="0"/>
          <w:i/>
          <w:sz w:val="24"/>
        </w:rPr>
        <w:t>unsafe</w:t>
      </w:r>
      <w:r>
        <w:rPr>
          <w:rFonts w:ascii="Times New Roman" w:hAnsi="Times New Roman"/>
          <w:sz w:val="24"/>
        </w:rPr>
        <w:t xml:space="preserve">) bagi penderita alergi. </w:t>
      </w:r>
      <w:r>
        <w:rPr>
          <w:rFonts w:ascii="Times New Roman" w:hAnsi="Times New Roman"/>
          <w:b/>
          <w:i w:val="0"/>
          <w:sz w:val="24"/>
        </w:rPr>
        <w:t>Kedua</w:t>
      </w:r>
      <w:r>
        <w:rPr>
          <w:rFonts w:ascii="Times New Roman" w:hAnsi="Times New Roman"/>
          <w:sz w:val="24"/>
        </w:rPr>
        <w:t>, bagaimana kinerjanya dibandingkan model Transformer berbahasa Indonesia (IndoBERT) yang di-</w:t>
      </w:r>
      <w:r>
        <w:rPr>
          <w:rFonts w:ascii="Times New Roman" w:hAnsi="Times New Roman"/>
          <w:b w:val="0"/>
          <w:i/>
          <w:sz w:val="24"/>
        </w:rPr>
        <w:t>fine-tuning</w:t>
      </w:r>
      <w:r>
        <w:rPr>
          <w:rFonts w:ascii="Times New Roman" w:hAnsi="Times New Roman"/>
          <w:sz w:val="24"/>
        </w:rPr>
        <w:t xml:space="preserve"> pada partisi data yang identik. Seluruh tahapan dirancang agar dapat direproduksi dan diaudit: kode, konfigurasi, manifes partisi, serta riwayat pelatihan diabadikan sebagai artefak eksperimen.</w:t>
      </w:r>
    </w:p>
    <w:p>
      <w:pPr>
        <w:spacing w:after="120" w:line="276" w:lineRule="auto"/>
      </w:pPr>
      <w:r>
        <w:rPr>
          <w:rFonts w:ascii="Times New Roman" w:hAnsi="Times New Roman"/>
          <w:sz w:val="24"/>
        </w:rPr>
        <w:t>Diagram alir tahapan penelitian ditunjukkan pada Gambar 3.1.</w:t>
      </w:r>
    </w:p>
    <w:p>
      <w:pPr>
        <w:jc w:val="center"/>
      </w:pPr>
      <w:r>
        <w:drawing>
          <wp:inline xmlns:a="http://schemas.openxmlformats.org/drawingml/2006/main" xmlns:pic="http://schemas.openxmlformats.org/drawingml/2006/picture">
            <wp:extent cx="5580000" cy="1944545"/>
            <wp:docPr id="1" name="Picture 1"/>
            <wp:cNvGraphicFramePr>
              <a:graphicFrameLocks noChangeAspect="1"/>
            </wp:cNvGraphicFramePr>
            <a:graphic>
              <a:graphicData uri="http://schemas.openxmlformats.org/drawingml/2006/picture">
                <pic:pic>
                  <pic:nvPicPr>
                    <pic:cNvPr id="0" name="fig_diagram_metodologi.png"/>
                    <pic:cNvPicPr/>
                  </pic:nvPicPr>
                  <pic:blipFill>
                    <a:blip r:embed="rId10"/>
                    <a:stretch>
                      <a:fillRect/>
                    </a:stretch>
                  </pic:blipFill>
                  <pic:spPr>
                    <a:xfrm>
                      <a:off x="0" y="0"/>
                      <a:ext cx="5580000" cy="1944545"/>
                    </a:xfrm>
                    <a:prstGeom prst="rect"/>
                  </pic:spPr>
                </pic:pic>
              </a:graphicData>
            </a:graphic>
          </wp:inline>
        </w:drawing>
      </w:r>
    </w:p>
    <w:p>
      <w:pPr>
        <w:spacing w:before="80" w:after="160"/>
        <w:jc w:val="center"/>
      </w:pPr>
      <w:r>
        <w:rPr>
          <w:rFonts w:ascii="Times New Roman" w:hAnsi="Times New Roman"/>
          <w:b/>
          <w:sz w:val="20"/>
        </w:rPr>
        <w:t>Gambar 3.1. Diagram alir tahapan penelitian, dari studi literatur hingga evaluasi dan audit.</w:t>
      </w:r>
    </w:p>
    <w:p>
      <w:pPr>
        <w:pStyle w:val="Heading2"/>
      </w:pPr>
      <w:r>
        <w:t>3.1  Studi Literatur</w:t>
      </w:r>
    </w:p>
    <w:p>
      <w:pPr>
        <w:spacing w:after="120" w:line="276" w:lineRule="auto"/>
      </w:pPr>
      <w:r>
        <w:rPr>
          <w:rFonts w:ascii="Times New Roman" w:hAnsi="Times New Roman"/>
          <w:sz w:val="24"/>
        </w:rPr>
        <w:t xml:space="preserve">Tahap pertama adalah studi literatur untuk memetakan tiga hal. </w:t>
      </w:r>
      <w:r>
        <w:rPr>
          <w:rFonts w:ascii="Times New Roman" w:hAnsi="Times New Roman"/>
          <w:b/>
          <w:i w:val="0"/>
          <w:sz w:val="24"/>
        </w:rPr>
        <w:t>Pertama</w:t>
      </w:r>
      <w:r>
        <w:rPr>
          <w:rFonts w:ascii="Times New Roman" w:hAnsi="Times New Roman"/>
          <w:sz w:val="24"/>
        </w:rPr>
        <w:t xml:space="preserve">, landasan representasi teks untuk klasifikasi komposisi pangan, mencakup </w:t>
      </w:r>
      <w:r>
        <w:rPr>
          <w:rFonts w:ascii="Times New Roman" w:hAnsi="Times New Roman"/>
          <w:sz w:val="24"/>
        </w:rPr>
        <w:t xml:space="preserve">model embedding prediktif Word2Vec dengan arsitektur </w:t>
      </w:r>
      <w:r>
        <w:rPr>
          <w:rFonts w:ascii="Times New Roman" w:hAnsi="Times New Roman"/>
          <w:b w:val="0"/>
          <w:i/>
          <w:sz w:val="24"/>
        </w:rPr>
        <w:t>skip-gram</w:t>
      </w:r>
      <w:r>
        <w:rPr>
          <w:rFonts w:ascii="Times New Roman" w:hAnsi="Times New Roman"/>
          <w:sz w:val="24"/>
        </w:rPr>
        <w:t xml:space="preserve"> dan jaringan saraf rekuren dua arah (</w:t>
      </w:r>
      <w:r>
        <w:rPr>
          <w:rFonts w:ascii="Times New Roman" w:hAnsi="Times New Roman"/>
          <w:b w:val="0"/>
          <w:i/>
          <w:sz w:val="24"/>
        </w:rPr>
        <w:t>bidirectional long short-term memory</w:t>
      </w:r>
      <w:r>
        <w:rPr>
          <w:rFonts w:ascii="Times New Roman" w:hAnsi="Times New Roman"/>
          <w:sz w:val="24"/>
        </w:rPr>
        <w:t xml:space="preserve">, BiLSTM) untuk pemodelan sekuensi. </w:t>
      </w:r>
      <w:r>
        <w:rPr>
          <w:rFonts w:ascii="Times New Roman" w:hAnsi="Times New Roman"/>
          <w:b/>
          <w:i w:val="0"/>
          <w:sz w:val="24"/>
        </w:rPr>
        <w:t>Kedua</w:t>
      </w:r>
      <w:r>
        <w:rPr>
          <w:rFonts w:ascii="Times New Roman" w:hAnsi="Times New Roman"/>
          <w:sz w:val="24"/>
        </w:rPr>
        <w:t xml:space="preserve">, praktik </w:t>
      </w:r>
      <w:r>
        <w:rPr>
          <w:rFonts w:ascii="Times New Roman" w:hAnsi="Times New Roman"/>
          <w:b w:val="0"/>
          <w:i/>
          <w:sz w:val="24"/>
        </w:rPr>
        <w:t>fine-tuning</w:t>
      </w:r>
      <w:r>
        <w:rPr>
          <w:rFonts w:ascii="Times New Roman" w:hAnsi="Times New Roman"/>
          <w:sz w:val="24"/>
        </w:rPr>
        <w:t xml:space="preserve"> model bahasa Transformer pra-latih untuk klasifikasi teks, khususnya varian berbahasa Indonesia. </w:t>
      </w:r>
      <w:r>
        <w:rPr>
          <w:rFonts w:ascii="Times New Roman" w:hAnsi="Times New Roman"/>
          <w:b/>
          <w:i w:val="0"/>
          <w:sz w:val="24"/>
        </w:rPr>
        <w:t>Ketiga</w:t>
      </w:r>
      <w:r>
        <w:rPr>
          <w:rFonts w:ascii="Times New Roman" w:hAnsi="Times New Roman"/>
          <w:sz w:val="24"/>
        </w:rPr>
        <w:t>, metodologi evaluasi yang sahih untuk data kecil dan tidak seimbang, mencakup pemisahan himpunan beku (</w:t>
      </w:r>
      <w:r>
        <w:rPr>
          <w:rFonts w:ascii="Times New Roman" w:hAnsi="Times New Roman"/>
          <w:b w:val="0"/>
          <w:i/>
          <w:sz w:val="24"/>
        </w:rPr>
        <w:t>frozen holdout</w:t>
      </w:r>
      <w:r>
        <w:rPr>
          <w:rFonts w:ascii="Times New Roman" w:hAnsi="Times New Roman"/>
          <w:sz w:val="24"/>
        </w:rPr>
        <w:t xml:space="preserve">), kurva ROC dan </w:t>
      </w:r>
      <w:r>
        <w:rPr>
          <w:rFonts w:ascii="Times New Roman" w:hAnsi="Times New Roman"/>
          <w:b w:val="0"/>
          <w:i/>
          <w:sz w:val="24"/>
        </w:rPr>
        <w:t>precision–recall</w:t>
      </w:r>
      <w:r>
        <w:rPr>
          <w:rFonts w:ascii="Times New Roman" w:hAnsi="Times New Roman"/>
          <w:sz w:val="24"/>
        </w:rPr>
        <w:t>, serta interval kepercayaan bootstrap. Hasil studi literatur menjadi dasar pemilihan arsitektur, protokol partisi data, dan protokol evaluasi pada sub-bab berikutnya.</w:t>
      </w:r>
    </w:p>
    <w:p>
      <w:pPr>
        <w:pStyle w:val="Heading2"/>
      </w:pPr>
      <w:r>
        <w:t>3.2  Pengumpulan Data</w:t>
      </w:r>
    </w:p>
    <w:p>
      <w:pPr>
        <w:spacing w:after="120" w:line="276" w:lineRule="auto"/>
      </w:pPr>
      <w:r>
        <w:rPr>
          <w:rFonts w:ascii="Times New Roman" w:hAnsi="Times New Roman"/>
          <w:sz w:val="24"/>
        </w:rPr>
        <w:t xml:space="preserve">Data dikumpulkan dari tiga sumber yang saling melengkapi. Sumber </w:t>
      </w:r>
      <w:r>
        <w:rPr>
          <w:rFonts w:ascii="Times New Roman" w:hAnsi="Times New Roman"/>
          <w:b/>
          <w:i w:val="0"/>
          <w:sz w:val="24"/>
        </w:rPr>
        <w:t>pertama</w:t>
      </w:r>
      <w:r>
        <w:rPr>
          <w:rFonts w:ascii="Times New Roman" w:hAnsi="Times New Roman"/>
          <w:sz w:val="24"/>
        </w:rPr>
        <w:t xml:space="preserve"> adalah foto kemasan produk pangan yang beredar di ritel Indonesia, yang merepresentasikan kondisi pengambilan data dunia nyata (variasi pencahayaan, sudut, dan tata letak label). Sumber </w:t>
      </w:r>
      <w:r>
        <w:rPr>
          <w:rFonts w:ascii="Times New Roman" w:hAnsi="Times New Roman"/>
          <w:b/>
          <w:i w:val="0"/>
          <w:sz w:val="24"/>
        </w:rPr>
        <w:t>kedua</w:t>
      </w:r>
      <w:r>
        <w:rPr>
          <w:rFonts w:ascii="Times New Roman" w:hAnsi="Times New Roman"/>
          <w:sz w:val="24"/>
        </w:rPr>
        <w:t xml:space="preserve"> adalah teks komposisi yang tertera pada kemasan, diperoleh melalui ekstraksi </w:t>
      </w:r>
      <w:r>
        <w:rPr>
          <w:rFonts w:ascii="Times New Roman" w:hAnsi="Times New Roman"/>
          <w:b w:val="0"/>
          <w:i/>
          <w:sz w:val="24"/>
        </w:rPr>
        <w:t>optical character recognition</w:t>
      </w:r>
      <w:r>
        <w:rPr>
          <w:rFonts w:ascii="Times New Roman" w:hAnsi="Times New Roman"/>
          <w:sz w:val="24"/>
        </w:rPr>
        <w:t xml:space="preserve"> (OCR) dan kurasi digital, sehingga setiap sampel berupa pasangan nama produk dan teks komposisi. Sumber </w:t>
      </w:r>
      <w:r>
        <w:rPr>
          <w:rFonts w:ascii="Times New Roman" w:hAnsi="Times New Roman"/>
          <w:b/>
          <w:i w:val="0"/>
          <w:sz w:val="24"/>
        </w:rPr>
        <w:t>ketiga</w:t>
      </w:r>
      <w:r>
        <w:rPr>
          <w:rFonts w:ascii="Times New Roman" w:hAnsi="Times New Roman"/>
          <w:sz w:val="24"/>
        </w:rPr>
        <w:t xml:space="preserve"> adalah pelabelan acuan manual (</w:t>
      </w:r>
      <w:r>
        <w:rPr>
          <w:rFonts w:ascii="Times New Roman" w:hAnsi="Times New Roman"/>
          <w:b w:val="0"/>
          <w:i/>
          <w:sz w:val="24"/>
        </w:rPr>
        <w:t>gold label</w:t>
      </w:r>
      <w:r>
        <w:rPr>
          <w:rFonts w:ascii="Times New Roman" w:hAnsi="Times New Roman"/>
          <w:sz w:val="24"/>
        </w:rPr>
        <w:t>) oleh anotator yang menetapkan status aman atau tidak aman berdasarkan kandungan alergen pada komposisi. Sesuai kaidah penulisan metodologi, rincian jumlah sampel, distribusi label, dan contoh data dilaporkan pada Bab Hasil (Sub-bab 4.1), bukan di sini.</w:t>
      </w:r>
    </w:p>
    <w:p>
      <w:pPr>
        <w:pStyle w:val="Heading2"/>
      </w:pPr>
      <w:r>
        <w:t>3.3  Pra-pemrosesan Data</w:t>
      </w:r>
    </w:p>
    <w:p>
      <w:pPr>
        <w:spacing w:after="120" w:line="276" w:lineRule="auto"/>
      </w:pPr>
      <w:r>
        <w:rPr>
          <w:rFonts w:ascii="Times New Roman" w:hAnsi="Times New Roman"/>
          <w:sz w:val="24"/>
        </w:rPr>
        <w:t xml:space="preserve">Pra-pemrosesan dilakukan dalam dua jalur, yaitu jalur citra dan jalur teks. Pada jalur citra, setiap foto kemasan melalui penapisan bilateral untuk meredam derau, pengambangan adaptif Otsu, normalisasi latar, dan operasi morfologi penutup sebelum diumpankan ke mesin OCR. Daerah komposisi dilokalisasi melalui jangkar kata kunci (misalnya </w:t>
      </w:r>
      <w:r>
        <w:rPr>
          <w:rFonts w:ascii="Times New Roman" w:hAnsi="Times New Roman"/>
          <w:b w:val="0"/>
          <w:i/>
          <w:sz w:val="24"/>
        </w:rPr>
        <w:t>“komposisi”</w:t>
      </w:r>
      <w:r>
        <w:rPr>
          <w:rFonts w:ascii="Times New Roman" w:hAnsi="Times New Roman"/>
          <w:sz w:val="24"/>
        </w:rPr>
        <w:t xml:space="preserve">, </w:t>
      </w:r>
      <w:r>
        <w:rPr>
          <w:rFonts w:ascii="Times New Roman" w:hAnsi="Times New Roman"/>
          <w:b w:val="0"/>
          <w:i/>
          <w:sz w:val="24"/>
        </w:rPr>
        <w:t>“composition”</w:t>
      </w:r>
      <w:r>
        <w:rPr>
          <w:rFonts w:ascii="Times New Roman" w:hAnsi="Times New Roman"/>
          <w:sz w:val="24"/>
        </w:rPr>
        <w:t xml:space="preserve">, </w:t>
      </w:r>
      <w:r>
        <w:rPr>
          <w:rFonts w:ascii="Times New Roman" w:hAnsi="Times New Roman"/>
          <w:b w:val="0"/>
          <w:i/>
          <w:sz w:val="24"/>
        </w:rPr>
        <w:t>“ingredients”</w:t>
      </w:r>
      <w:r>
        <w:rPr>
          <w:rFonts w:ascii="Times New Roman" w:hAnsi="Times New Roman"/>
          <w:sz w:val="24"/>
        </w:rPr>
        <w:t xml:space="preserve">) dengan pola penghentian pada bagian label lain seperti informasi nilai gizi, sehingga teks di luar komposisi tidak terbawa. Pada jalur teks, normalisasi yang diterapkan meliputi pelipatan huruf kecil, penghilangan karakter non-alfanumerik, dan pemadatan spasi. Secara sadar </w:t>
      </w:r>
      <w:r>
        <w:rPr>
          <w:rFonts w:ascii="Times New Roman" w:hAnsi="Times New Roman"/>
          <w:b/>
          <w:i w:val="0"/>
          <w:sz w:val="24"/>
        </w:rPr>
        <w:t>tidak</w:t>
      </w:r>
      <w:r>
        <w:rPr>
          <w:rFonts w:ascii="Times New Roman" w:hAnsi="Times New Roman"/>
          <w:sz w:val="24"/>
        </w:rPr>
        <w:t xml:space="preserve"> dilakukan pembuangan stopword, karena token fungsi bahasa Indonesia dapat membawa konteks yang relevan bagi tokenizer dan model embedding. Teks kosong dibuang dan didokumentasikan.</w:t>
      </w:r>
    </w:p>
    <w:p>
      <w:pPr>
        <w:pStyle w:val="Heading2"/>
      </w:pPr>
      <w:r>
        <w:t>3.4  Pembangunan Knowledge Base Alergen</w:t>
      </w:r>
    </w:p>
    <w:p>
      <w:pPr>
        <w:spacing w:after="120" w:line="276" w:lineRule="auto"/>
      </w:pPr>
      <w:r>
        <w:rPr>
          <w:rFonts w:ascii="Times New Roman" w:hAnsi="Times New Roman"/>
          <w:sz w:val="24"/>
        </w:rPr>
        <w:t>Sebagai pembanding diagnostik dibangun knowledge base (KB) berbasis aturan yang mencakup delapan kategori alergen kanonis, yaitu gluten, susu (</w:t>
      </w:r>
      <w:r>
        <w:rPr>
          <w:rFonts w:ascii="Times New Roman" w:hAnsi="Times New Roman"/>
          <w:b w:val="0"/>
          <w:i/>
          <w:sz w:val="24"/>
        </w:rPr>
        <w:t>dairy</w:t>
      </w:r>
      <w:r>
        <w:rPr>
          <w:rFonts w:ascii="Times New Roman" w:hAnsi="Times New Roman"/>
          <w:sz w:val="24"/>
        </w:rPr>
        <w:t>), telur (</w:t>
      </w:r>
      <w:r>
        <w:rPr>
          <w:rFonts w:ascii="Times New Roman" w:hAnsi="Times New Roman"/>
          <w:b w:val="0"/>
          <w:i/>
          <w:sz w:val="24"/>
        </w:rPr>
        <w:t>egg</w:t>
      </w:r>
      <w:r>
        <w:rPr>
          <w:rFonts w:ascii="Times New Roman" w:hAnsi="Times New Roman"/>
          <w:sz w:val="24"/>
        </w:rPr>
        <w:t>), kedelai (</w:t>
      </w:r>
      <w:r>
        <w:rPr>
          <w:rFonts w:ascii="Times New Roman" w:hAnsi="Times New Roman"/>
          <w:b w:val="0"/>
          <w:i/>
          <w:sz w:val="24"/>
        </w:rPr>
        <w:t>soy</w:t>
      </w:r>
      <w:r>
        <w:rPr>
          <w:rFonts w:ascii="Times New Roman" w:hAnsi="Times New Roman"/>
          <w:sz w:val="24"/>
        </w:rPr>
        <w:t>), ikan (</w:t>
      </w:r>
      <w:r>
        <w:rPr>
          <w:rFonts w:ascii="Times New Roman" w:hAnsi="Times New Roman"/>
          <w:b w:val="0"/>
          <w:i/>
          <w:sz w:val="24"/>
        </w:rPr>
        <w:t>fish</w:t>
      </w:r>
      <w:r>
        <w:rPr>
          <w:rFonts w:ascii="Times New Roman" w:hAnsi="Times New Roman"/>
          <w:sz w:val="24"/>
        </w:rPr>
        <w:t>), krustasea (</w:t>
      </w:r>
      <w:r>
        <w:rPr>
          <w:rFonts w:ascii="Times New Roman" w:hAnsi="Times New Roman"/>
          <w:b w:val="0"/>
          <w:i/>
          <w:sz w:val="24"/>
        </w:rPr>
        <w:t>crustacean</w:t>
      </w:r>
      <w:r>
        <w:rPr>
          <w:rFonts w:ascii="Times New Roman" w:hAnsi="Times New Roman"/>
          <w:sz w:val="24"/>
        </w:rPr>
        <w:t>), wijen (</w:t>
      </w:r>
      <w:r>
        <w:rPr>
          <w:rFonts w:ascii="Times New Roman" w:hAnsi="Times New Roman"/>
          <w:b w:val="0"/>
          <w:i/>
          <w:sz w:val="24"/>
        </w:rPr>
        <w:t>sesame</w:t>
      </w:r>
      <w:r>
        <w:rPr>
          <w:rFonts w:ascii="Times New Roman" w:hAnsi="Times New Roman"/>
          <w:sz w:val="24"/>
        </w:rPr>
        <w:t>), dan kacang pohon (</w:t>
      </w:r>
      <w:r>
        <w:rPr>
          <w:rFonts w:ascii="Times New Roman" w:hAnsi="Times New Roman"/>
          <w:b w:val="0"/>
          <w:i/>
          <w:sz w:val="24"/>
        </w:rPr>
        <w:t>tree nut</w:t>
      </w:r>
      <w:r>
        <w:rPr>
          <w:rFonts w:ascii="Times New Roman" w:hAnsi="Times New Roman"/>
          <w:sz w:val="24"/>
        </w:rPr>
        <w:t>). Setiap kategori didefinisikan melalui daftar istilah kanonis dwibahasa (Indonesia–Inggris) beserta sinonimnya. Pencocokan dilakukan dalam tiga lapis: (i) pencocokan eksak dan sinonim berbasis batas kata, (ii) pencocokan fuzzy konservatif untuk toleransi galat OCR, dan (iii) penangkapan bukti non-kanonis (misalnya sulfit) serta pola peringatan (</w:t>
      </w:r>
      <w:r>
        <w:rPr>
          <w:rFonts w:ascii="Times New Roman" w:hAnsi="Times New Roman"/>
          <w:b w:val="0"/>
          <w:i/>
          <w:sz w:val="24"/>
        </w:rPr>
        <w:t>warning patterns</w:t>
      </w:r>
      <w:r>
        <w:rPr>
          <w:rFonts w:ascii="Times New Roman" w:hAnsi="Times New Roman"/>
          <w:sz w:val="24"/>
        </w:rPr>
        <w:t xml:space="preserve"> seperti frasaولة “mengandung alergen” atau “diproduksi dengan peralatan yang juga memproses …”). Setiap keputusan KB disertai tingkat keyakinan, kategori yang terpukul, istilah yang cocok, dan metode buktinya. Ditegaskan bahwa KB berkedudukan sebagai </w:t>
      </w:r>
      <w:r>
        <w:rPr>
          <w:rFonts w:ascii="Times New Roman" w:hAnsi="Times New Roman"/>
          <w:b/>
          <w:i w:val="0"/>
          <w:sz w:val="24"/>
        </w:rPr>
        <w:t>bukti diagnostik, bukan kebenaran acuan</w:t>
      </w:r>
      <w:r>
        <w:rPr>
          <w:rFonts w:ascii="Times New Roman" w:hAnsi="Times New Roman"/>
          <w:sz w:val="24"/>
        </w:rPr>
        <w:t>; KB tidak pernah menggantikan gold label dalam pelatihan maupun evaluasi.</w:t>
      </w:r>
    </w:p>
    <w:tbl>
      <w:tblPr>
        <w:tblStyle w:val="TableGrid"/>
        <w:tblW w:type="auto" w:w="0"/>
        <w:jc w:val="center"/>
        <w:tblLook w:firstColumn="1" w:firstRow="1" w:lastColumn="0" w:lastRow="0" w:noHBand="0" w:noVBand="1" w:val="04A0"/>
      </w:tblPr>
      <w:tblGrid>
        <w:gridCol w:w="4536"/>
        <w:gridCol w:w="4536"/>
      </w:tblGrid>
      <w:tr>
        <w:tc>
          <w:tcPr>
            <w:tcW w:type="dxa" w:w="2551"/>
            <w:shd w:fill="D9D9D9" w:val="clear"/>
          </w:tcPr>
          <w:p>
            <w:pPr>
              <w:jc w:val="center"/>
            </w:pPr>
            <w:r/>
            <w:r>
              <w:rPr>
                <w:rFonts w:ascii="Times New Roman" w:hAnsi="Times New Roman"/>
                <w:b/>
                <w:sz w:val="20"/>
              </w:rPr>
              <w:t>Kategori</w:t>
            </w:r>
          </w:p>
        </w:tc>
        <w:tc>
          <w:tcPr>
            <w:tcW w:type="dxa" w:w="6236"/>
            <w:shd w:fill="D9D9D9" w:val="clear"/>
          </w:tcPr>
          <w:p>
            <w:pPr>
              <w:jc w:val="center"/>
            </w:pPr>
            <w:r/>
            <w:r>
              <w:rPr>
                <w:rFonts w:ascii="Times New Roman" w:hAnsi="Times New Roman"/>
                <w:b/>
                <w:sz w:val="20"/>
              </w:rPr>
              <w:t>Contoh istilah kanonis</w:t>
            </w:r>
          </w:p>
        </w:tc>
      </w:tr>
      <w:tr>
        <w:tc>
          <w:tcPr>
            <w:tcW w:type="dxa" w:w="2551"/>
          </w:tcPr>
          <w:p>
            <w:r/>
            <w:r>
              <w:rPr>
                <w:rFonts w:ascii="Times New Roman" w:hAnsi="Times New Roman"/>
                <w:sz w:val="20"/>
              </w:rPr>
              <w:t>Gluten</w:t>
            </w:r>
          </w:p>
        </w:tc>
        <w:tc>
          <w:tcPr>
            <w:tcW w:type="dxa" w:w="6236"/>
          </w:tcPr>
          <w:p>
            <w:r/>
            <w:r>
              <w:rPr>
                <w:rFonts w:ascii="Times New Roman" w:hAnsi="Times New Roman"/>
                <w:sz w:val="20"/>
              </w:rPr>
              <w:t>tepung terigu, gandum, gluten, barley</w:t>
            </w:r>
          </w:p>
        </w:tc>
      </w:tr>
      <w:tr>
        <w:tc>
          <w:tcPr>
            <w:tcW w:type="dxa" w:w="2551"/>
          </w:tcPr>
          <w:p>
            <w:r/>
            <w:r>
              <w:rPr>
                <w:rFonts w:ascii="Times New Roman" w:hAnsi="Times New Roman"/>
                <w:sz w:val="20"/>
              </w:rPr>
              <w:t>Dairy</w:t>
            </w:r>
          </w:p>
        </w:tc>
        <w:tc>
          <w:tcPr>
            <w:tcW w:type="dxa" w:w="6236"/>
          </w:tcPr>
          <w:p>
            <w:r/>
            <w:r>
              <w:rPr>
                <w:rFonts w:ascii="Times New Roman" w:hAnsi="Times New Roman"/>
                <w:sz w:val="20"/>
              </w:rPr>
              <w:t>susu, susu bubuk, whey, keju, mentega</w:t>
            </w:r>
          </w:p>
        </w:tc>
      </w:tr>
      <w:tr>
        <w:tc>
          <w:tcPr>
            <w:tcW w:type="dxa" w:w="2551"/>
          </w:tcPr>
          <w:p>
            <w:r/>
            <w:r>
              <w:rPr>
                <w:rFonts w:ascii="Times New Roman" w:hAnsi="Times New Roman"/>
                <w:sz w:val="20"/>
              </w:rPr>
              <w:t>Egg</w:t>
            </w:r>
          </w:p>
        </w:tc>
        <w:tc>
          <w:tcPr>
            <w:tcW w:type="dxa" w:w="6236"/>
          </w:tcPr>
          <w:p>
            <w:r/>
            <w:r>
              <w:rPr>
                <w:rFonts w:ascii="Times New Roman" w:hAnsi="Times New Roman"/>
                <w:sz w:val="20"/>
              </w:rPr>
              <w:t>telur, telur bubuk, albumen</w:t>
            </w:r>
          </w:p>
        </w:tc>
      </w:tr>
      <w:tr>
        <w:tc>
          <w:tcPr>
            <w:tcW w:type="dxa" w:w="2551"/>
          </w:tcPr>
          <w:p>
            <w:r/>
            <w:r>
              <w:rPr>
                <w:rFonts w:ascii="Times New Roman" w:hAnsi="Times New Roman"/>
                <w:sz w:val="20"/>
              </w:rPr>
              <w:t>Soy</w:t>
            </w:r>
          </w:p>
        </w:tc>
        <w:tc>
          <w:tcPr>
            <w:tcW w:type="dxa" w:w="6236"/>
          </w:tcPr>
          <w:p>
            <w:r/>
            <w:r>
              <w:rPr>
                <w:rFonts w:ascii="Times New Roman" w:hAnsi="Times New Roman"/>
                <w:sz w:val="20"/>
              </w:rPr>
              <w:t>kedelai, soya, lesitin kedelai</w:t>
            </w:r>
          </w:p>
        </w:tc>
      </w:tr>
      <w:tr>
        <w:tc>
          <w:tcPr>
            <w:tcW w:type="dxa" w:w="2551"/>
          </w:tcPr>
          <w:p>
            <w:r/>
            <w:r>
              <w:rPr>
                <w:rFonts w:ascii="Times New Roman" w:hAnsi="Times New Roman"/>
                <w:sz w:val="20"/>
              </w:rPr>
              <w:t>Fish</w:t>
            </w:r>
          </w:p>
        </w:tc>
        <w:tc>
          <w:tcPr>
            <w:tcW w:type="dxa" w:w="6236"/>
          </w:tcPr>
          <w:p>
            <w:r/>
            <w:r>
              <w:rPr>
                <w:rFonts w:ascii="Times New Roman" w:hAnsi="Times New Roman"/>
                <w:sz w:val="20"/>
              </w:rPr>
              <w:t>ikan, tuna, salmon, sarden, teri</w:t>
            </w:r>
          </w:p>
        </w:tc>
      </w:tr>
      <w:tr>
        <w:tc>
          <w:tcPr>
            <w:tcW w:type="dxa" w:w="2551"/>
          </w:tcPr>
          <w:p>
            <w:r/>
            <w:r>
              <w:rPr>
                <w:rFonts w:ascii="Times New Roman" w:hAnsi="Times New Roman"/>
                <w:sz w:val="20"/>
              </w:rPr>
              <w:t>Crustacean</w:t>
            </w:r>
          </w:p>
        </w:tc>
        <w:tc>
          <w:tcPr>
            <w:tcW w:type="dxa" w:w="6236"/>
          </w:tcPr>
          <w:p>
            <w:r/>
            <w:r>
              <w:rPr>
                <w:rFonts w:ascii="Times New Roman" w:hAnsi="Times New Roman"/>
                <w:sz w:val="20"/>
              </w:rPr>
              <w:t>udang, kepiting, lobster, krustasea</w:t>
            </w:r>
          </w:p>
        </w:tc>
      </w:tr>
      <w:tr>
        <w:tc>
          <w:tcPr>
            <w:tcW w:type="dxa" w:w="2551"/>
          </w:tcPr>
          <w:p>
            <w:r/>
            <w:r>
              <w:rPr>
                <w:rFonts w:ascii="Times New Roman" w:hAnsi="Times New Roman"/>
                <w:sz w:val="20"/>
              </w:rPr>
              <w:t>Sesame</w:t>
            </w:r>
          </w:p>
        </w:tc>
        <w:tc>
          <w:tcPr>
            <w:tcW w:type="dxa" w:w="6236"/>
          </w:tcPr>
          <w:p>
            <w:r/>
            <w:r>
              <w:rPr>
                <w:rFonts w:ascii="Times New Roman" w:hAnsi="Times New Roman"/>
                <w:sz w:val="20"/>
              </w:rPr>
              <w:t>wijen, biji wijen</w:t>
            </w:r>
          </w:p>
        </w:tc>
      </w:tr>
      <w:tr>
        <w:tc>
          <w:tcPr>
            <w:tcW w:type="dxa" w:w="2551"/>
          </w:tcPr>
          <w:p>
            <w:r/>
            <w:r>
              <w:rPr>
                <w:rFonts w:ascii="Times New Roman" w:hAnsi="Times New Roman"/>
                <w:sz w:val="20"/>
              </w:rPr>
              <w:t>Tree Nut</w:t>
            </w:r>
          </w:p>
        </w:tc>
        <w:tc>
          <w:tcPr>
            <w:tcW w:type="dxa" w:w="6236"/>
          </w:tcPr>
          <w:p>
            <w:r/>
            <w:r>
              <w:rPr>
                <w:rFonts w:ascii="Times New Roman" w:hAnsi="Times New Roman"/>
                <w:sz w:val="20"/>
              </w:rPr>
              <w:t>almond, kacang mete/mede, kenari, pistachio</w:t>
            </w:r>
          </w:p>
        </w:tc>
      </w:tr>
    </w:tbl>
    <w:p>
      <w:pPr>
        <w:spacing w:after="40"/>
      </w:pPr>
    </w:p>
    <w:p>
      <w:pPr>
        <w:spacing w:before="80" w:after="160"/>
        <w:jc w:val="center"/>
      </w:pPr>
      <w:r>
        <w:rPr>
          <w:rFonts w:ascii="Times New Roman" w:hAnsi="Times New Roman"/>
          <w:b/>
          <w:sz w:val="20"/>
        </w:rPr>
        <w:t>Tabel 3.1. Delapan kategori alergen kanonis beserta contoh istilahnya.</w:t>
      </w:r>
    </w:p>
    <w:p>
      <w:pPr>
        <w:pStyle w:val="Heading2"/>
      </w:pPr>
      <w:r>
        <w:t>3.5  Pelabelan Acuan</w:t>
      </w:r>
    </w:p>
    <w:p>
      <w:pPr>
        <w:spacing w:after="120" w:line="276" w:lineRule="auto"/>
      </w:pPr>
      <w:r>
        <w:rPr>
          <w:rFonts w:ascii="Times New Roman" w:hAnsi="Times New Roman"/>
          <w:sz w:val="24"/>
        </w:rPr>
        <w:t xml:space="preserve">Setiap sampel teks komposisi diberi satu label biner acuan: </w:t>
      </w:r>
      <w:r>
        <w:rPr>
          <w:rFonts w:ascii="Times New Roman" w:hAnsi="Times New Roman"/>
          <w:b w:val="0"/>
          <w:i/>
          <w:sz w:val="24"/>
        </w:rPr>
        <w:t>safe</w:t>
      </w:r>
      <w:r>
        <w:rPr>
          <w:rFonts w:ascii="Times New Roman" w:hAnsi="Times New Roman"/>
          <w:sz w:val="24"/>
        </w:rPr>
        <w:t xml:space="preserve"> (kode 0) atau </w:t>
      </w:r>
      <w:r>
        <w:rPr>
          <w:rFonts w:ascii="Times New Roman" w:hAnsi="Times New Roman"/>
          <w:b w:val="0"/>
          <w:i/>
          <w:sz w:val="24"/>
        </w:rPr>
        <w:t>unsafe</w:t>
      </w:r>
      <w:r>
        <w:rPr>
          <w:rFonts w:ascii="Times New Roman" w:hAnsi="Times New Roman"/>
          <w:sz w:val="24"/>
        </w:rPr>
        <w:t xml:space="preserve"> (kode 1). Label acuan diperlakukan sebagai satu-satunya </w:t>
      </w:r>
      <w:r>
        <w:rPr>
          <w:rFonts w:ascii="Times New Roman" w:hAnsi="Times New Roman"/>
          <w:b w:val="0"/>
          <w:i/>
          <w:sz w:val="24"/>
        </w:rPr>
        <w:t>ground truth</w:t>
      </w:r>
      <w:r>
        <w:rPr>
          <w:rFonts w:ascii="Times New Roman" w:hAnsi="Times New Roman"/>
          <w:sz w:val="24"/>
        </w:rPr>
        <w:t xml:space="preserve"> untuk pelatihan dan evaluasi; label otomatis KB hanya dipakai untuk audit kualitas KB dan untuk validasi konsistensi data sintetik. Baris berlabel di luar kosakata biner tersebut dibuang.</w:t>
      </w:r>
    </w:p>
    <w:p>
      <w:pPr>
        <w:pStyle w:val="Heading2"/>
      </w:pPr>
      <w:r>
        <w:t>3.6  Partisi Data Anti-Leakage</w:t>
      </w:r>
    </w:p>
    <w:p>
      <w:pPr>
        <w:spacing w:after="120" w:line="276" w:lineRule="auto"/>
      </w:pPr>
      <w:r>
        <w:rPr>
          <w:rFonts w:ascii="Times New Roman" w:hAnsi="Times New Roman"/>
          <w:sz w:val="24"/>
        </w:rPr>
        <w:t>Seluruh sampel riil dipartisi tepat satu kali menjadi tiga himpunan yang saling lepas: himpunan latih, himpunan validasi, dan himpunan beku (</w:t>
      </w:r>
      <w:r>
        <w:rPr>
          <w:rFonts w:ascii="Times New Roman" w:hAnsi="Times New Roman"/>
          <w:b w:val="0"/>
          <w:i/>
          <w:sz w:val="24"/>
        </w:rPr>
        <w:t>frozen holdout</w:t>
      </w:r>
      <w:r>
        <w:rPr>
          <w:rFonts w:ascii="Times New Roman" w:hAnsi="Times New Roman"/>
          <w:sz w:val="24"/>
        </w:rPr>
        <w:t xml:space="preserve">). Dua mekanisme anti-leakage diterapkan secara simultan melalui struktur </w:t>
      </w:r>
      <w:r>
        <w:rPr>
          <w:rFonts w:ascii="Times New Roman" w:hAnsi="Times New Roman"/>
          <w:b w:val="0"/>
          <w:i/>
          <w:sz w:val="24"/>
        </w:rPr>
        <w:t>union-find</w:t>
      </w:r>
      <w:r>
        <w:rPr>
          <w:rFonts w:ascii="Times New Roman" w:hAnsi="Times New Roman"/>
          <w:sz w:val="24"/>
        </w:rPr>
        <w:t xml:space="preserve">: (i) grup produk — nama produk yang ternormalisasi sama wajib berada pada split yang sama, dan (ii) teks ternormalisasi yang identik secara eksak (hash SHA-256) wajib berada pada split yang sama. Himpunan beku dikunci berdasarkan daftar nama produk, diperluas ke komponen penuhnya, dan setiap konflik komponen menggagalkan eksperimen alih-alih diubah diam-diam. Himpunan validasi dipilih secara deterministik dengan komposisi kelas eksak dari sisa data pengembangan. Himpunan beku tidak pernah memasuki </w:t>
      </w:r>
      <w:r>
        <w:rPr>
          <w:rFonts w:ascii="Times New Roman" w:hAnsi="Times New Roman"/>
          <w:b w:val="0"/>
          <w:i/>
          <w:sz w:val="24"/>
        </w:rPr>
        <w:t>model.fit()</w:t>
      </w:r>
      <w:r>
        <w:rPr>
          <w:rFonts w:ascii="Times New Roman" w:hAnsi="Times New Roman"/>
          <w:sz w:val="24"/>
        </w:rPr>
        <w:t>, penyetelan hiperparameter, maupun penentuan ambang. Hasil partisi diabadikan dalam manifes split beserta audit ketiadaan irisan grup dan teks antar-split.</w:t>
      </w:r>
    </w:p>
    <w:p>
      <w:pPr>
        <w:pStyle w:val="Heading2"/>
      </w:pPr>
      <w:r>
        <w:t>3.7  Pembangkitan Data Sintetik</w:t>
      </w:r>
    </w:p>
    <w:p>
      <w:pPr>
        <w:spacing w:after="120" w:line="276" w:lineRule="auto"/>
      </w:pPr>
      <w:r>
        <w:rPr>
          <w:rFonts w:ascii="Times New Roman" w:hAnsi="Times New Roman"/>
          <w:sz w:val="24"/>
        </w:rPr>
        <w:t xml:space="preserve">Untuk memperkaya himpunan latih yang kecil, data sintetik dibangkitkan </w:t>
      </w:r>
      <w:r>
        <w:rPr>
          <w:rFonts w:ascii="Times New Roman" w:hAnsi="Times New Roman"/>
          <w:b/>
          <w:i w:val="0"/>
          <w:sz w:val="24"/>
        </w:rPr>
        <w:t>setelah</w:t>
      </w:r>
      <w:r>
        <w:rPr>
          <w:rFonts w:ascii="Times New Roman" w:hAnsi="Times New Roman"/>
          <w:sz w:val="24"/>
        </w:rPr>
        <w:t xml:space="preserve"> partisi data riil selesai dan </w:t>
      </w:r>
      <w:r>
        <w:rPr>
          <w:rFonts w:ascii="Times New Roman" w:hAnsi="Times New Roman"/>
          <w:b/>
          <w:i w:val="0"/>
          <w:sz w:val="24"/>
        </w:rPr>
        <w:t>hanya</w:t>
      </w:r>
      <w:r>
        <w:rPr>
          <w:rFonts w:ascii="Times New Roman" w:hAnsi="Times New Roman"/>
          <w:sz w:val="24"/>
        </w:rPr>
        <w:t xml:space="preserve"> dari himpunan latih riil, sehingga validasi dan himpunan beku steril dari proses ini (kontrak sumber </w:t>
      </w:r>
      <w:r>
        <w:rPr>
          <w:rFonts w:ascii="Times New Roman" w:hAnsi="Times New Roman"/>
          <w:b w:val="0"/>
          <w:i/>
          <w:sz w:val="24"/>
        </w:rPr>
        <w:t>real_train_only</w:t>
      </w:r>
      <w:r>
        <w:rPr>
          <w:rFonts w:ascii="Times New Roman" w:hAnsi="Times New Roman"/>
          <w:sz w:val="24"/>
        </w:rPr>
        <w:t>). Frasa umum dipelajari dari bagian teks latih yang lolos KB sebagai aman, sedangkan frasa alergen dipelajari per kategori dari latih riil dengan daftar cadangan kanonis agar kedelapan kategori selalu terwakili. Sampel aman dibangun dari kombinasi frasa umum dan diperiksa ulang oleh KB; sampel tidak aman dipaksa mengandung minimal satu alergen kanonis dan diperiksa ulang pula. Setiap ketidakcocokan antara label sintetik dan keputusan KB menggagalkan pembangkitan. Himpunan latih final adalah gabungan latih riil dan latih sintetik; validasi dan himpunan beku tetap murni sampel riil berlabel acuan.</w:t>
      </w:r>
    </w:p>
    <w:p>
      <w:pPr>
        <w:pStyle w:val="Heading2"/>
      </w:pPr>
      <w:r>
        <w:t>3.8  Representasi Fitur Word2Vec</w:t>
      </w:r>
    </w:p>
    <w:p>
      <w:pPr>
        <w:spacing w:after="120" w:line="276" w:lineRule="auto"/>
      </w:pPr>
      <w:r>
        <w:rPr>
          <w:rFonts w:ascii="Times New Roman" w:hAnsi="Times New Roman"/>
          <w:sz w:val="24"/>
        </w:rPr>
        <w:t xml:space="preserve">Representasi kata dipelajari dengan Word2Vec arsitektur </w:t>
      </w:r>
      <w:r>
        <w:rPr>
          <w:rFonts w:ascii="Times New Roman" w:hAnsi="Times New Roman"/>
          <w:b w:val="0"/>
          <w:i/>
          <w:sz w:val="24"/>
        </w:rPr>
        <w:t>skip-gram</w:t>
      </w:r>
      <w:r>
        <w:rPr>
          <w:rFonts w:ascii="Times New Roman" w:hAnsi="Times New Roman"/>
          <w:sz w:val="24"/>
        </w:rPr>
        <w:t xml:space="preserve"> </w:t>
      </w:r>
      <w:r>
        <w:rPr>
          <w:rFonts w:ascii="Times New Roman" w:hAnsi="Times New Roman"/>
          <w:b/>
          <w:i w:val="0"/>
          <w:sz w:val="24"/>
        </w:rPr>
        <w:t>hanya pada teks latih final</w:t>
      </w:r>
      <w:r>
        <w:rPr>
          <w:rFonts w:ascii="Times New Roman" w:hAnsi="Times New Roman"/>
          <w:sz w:val="24"/>
        </w:rPr>
        <w:t xml:space="preserve"> (latih riil ditambah sintetik); validasi dan himpunan beku hanya ditransformasi. Model </w:t>
      </w:r>
      <w:r>
        <w:rPr>
          <w:rFonts w:ascii="Times New Roman" w:hAnsi="Times New Roman"/>
          <w:b w:val="0"/>
          <w:i/>
          <w:sz w:val="24"/>
        </w:rPr>
        <w:t>skip-gram</w:t>
      </w:r>
      <w:r>
        <w:rPr>
          <w:rFonts w:ascii="Times New Roman" w:hAnsi="Times New Roman"/>
          <w:sz w:val="24"/>
        </w:rPr>
        <w:t xml:space="preserve"> memaksimalkan peluang kata-kata konteks di sekitar tiap kata target pada jendela konteks, sehingga kata berkonteks serupa memperoleh vektor berdekatan. Matriks embedding dibangun dengan memetakan indeks tokenizer ke vektor Word2Vec, sedangkan kata tak terlihat diinisialisasi acak dan baris padding dinolkan. Tingkat kata tak dikenal (</w:t>
      </w:r>
      <w:r>
        <w:rPr>
          <w:rFonts w:ascii="Times New Roman" w:hAnsi="Times New Roman"/>
          <w:b w:val="0"/>
          <w:i/>
          <w:sz w:val="24"/>
        </w:rPr>
        <w:t>out-of-vocabulary</w:t>
      </w:r>
      <w:r>
        <w:rPr>
          <w:rFonts w:ascii="Times New Roman" w:hAnsi="Times New Roman"/>
          <w:sz w:val="24"/>
        </w:rPr>
        <w:t>, OOV) diaudit per split.</w:t>
      </w:r>
    </w:p>
    <w:p>
      <w:pPr>
        <w:pStyle w:val="Heading2"/>
      </w:pPr>
      <w:r>
        <w:t>3.9  Arsitektur Model</w:t>
      </w:r>
    </w:p>
    <w:p>
      <w:pPr>
        <w:pStyle w:val="Heading3"/>
      </w:pPr>
      <w:r>
        <w:t>3.9.1  Word2Vec–BiLSTM</w:t>
      </w:r>
    </w:p>
    <w:p>
      <w:pPr>
        <w:spacing w:after="120" w:line="276" w:lineRule="auto"/>
      </w:pPr>
      <w:r>
        <w:rPr>
          <w:rFonts w:ascii="Times New Roman" w:hAnsi="Times New Roman"/>
          <w:sz w:val="24"/>
        </w:rPr>
        <w:t xml:space="preserve">Arsitektur BiLSTM tersusun atas lapisan embedding (bobot Word2Vec, dapat dilatih, dengan masking token padding), dua lapisan </w:t>
      </w:r>
      <w:r>
        <w:rPr>
          <w:rFonts w:ascii="Times New Roman" w:hAnsi="Times New Roman"/>
          <w:b w:val="0"/>
          <w:i/>
          <w:sz w:val="24"/>
        </w:rPr>
        <w:t>bidirectional LSTM</w:t>
      </w:r>
      <w:r>
        <w:rPr>
          <w:rFonts w:ascii="Times New Roman" w:hAnsi="Times New Roman"/>
          <w:sz w:val="24"/>
        </w:rPr>
        <w:t xml:space="preserve"> bertumpuk (128 dan 64 unit) yang masing-masing diikuti dropout, satu lapisan padat ReLU 64 unit dengan dropout, serta satu neuron sigmoid yang mengeluarkan peluang kelas tidak aman (Gambar 3.2). Sel LSTM memelihara status sel melalui gerbang lupa, masuk, dan keluar sebagaimana Persamaan (1), sedangkan BiLSTM menggabungkan status arah maju dan mundur sebagaimana Persamaan (2).</w:t>
      </w:r>
    </w:p>
    <w:p>
      <w:pPr>
        <w:jc w:val="center"/>
      </w:pPr>
      <w:r>
        <w:drawing>
          <wp:inline xmlns:a="http://schemas.openxmlformats.org/drawingml/2006/main" xmlns:pic="http://schemas.openxmlformats.org/drawingml/2006/picture">
            <wp:extent cx="5580000" cy="1709035"/>
            <wp:docPr id="2" name="Picture 2"/>
            <wp:cNvGraphicFramePr>
              <a:graphicFrameLocks noChangeAspect="1"/>
            </wp:cNvGraphicFramePr>
            <a:graphic>
              <a:graphicData uri="http://schemas.openxmlformats.org/drawingml/2006/picture">
                <pic:pic>
                  <pic:nvPicPr>
                    <pic:cNvPr id="0" name="fig_arsitektur_bilstm.png"/>
                    <pic:cNvPicPr/>
                  </pic:nvPicPr>
                  <pic:blipFill>
                    <a:blip r:embed="rId11"/>
                    <a:stretch>
                      <a:fillRect/>
                    </a:stretch>
                  </pic:blipFill>
                  <pic:spPr>
                    <a:xfrm>
                      <a:off x="0" y="0"/>
                      <a:ext cx="5580000" cy="1709035"/>
                    </a:xfrm>
                    <a:prstGeom prst="rect"/>
                  </pic:spPr>
                </pic:pic>
              </a:graphicData>
            </a:graphic>
          </wp:inline>
        </w:drawing>
      </w:r>
    </w:p>
    <w:p>
      <w:pPr>
        <w:spacing w:before="80" w:after="160"/>
        <w:jc w:val="center"/>
      </w:pPr>
      <w:r>
        <w:rPr>
          <w:rFonts w:ascii="Times New Roman" w:hAnsi="Times New Roman"/>
          <w:b/>
          <w:sz w:val="20"/>
        </w:rPr>
        <w:t>Gambar 3.2. Arsitektur Word2Vec–BiLSTM yang digunakan.</w:t>
      </w:r>
    </w:p>
    <w:p>
      <w:pPr>
        <w:jc w:val="center"/>
      </w:pPr>
      <w:r>
        <w:drawing>
          <wp:inline xmlns:a="http://schemas.openxmlformats.org/drawingml/2006/main" xmlns:pic="http://schemas.openxmlformats.org/drawingml/2006/picture">
            <wp:extent cx="4860000" cy="497571"/>
            <wp:docPr id="3" name="Picture 3"/>
            <wp:cNvGraphicFramePr>
              <a:graphicFrameLocks noChangeAspect="1"/>
            </wp:cNvGraphicFramePr>
            <a:graphic>
              <a:graphicData uri="http://schemas.openxmlformats.org/drawingml/2006/picture">
                <pic:pic>
                  <pic:nvPicPr>
                    <pic:cNvPr id="0" name="eq_lstm.png"/>
                    <pic:cNvPicPr/>
                  </pic:nvPicPr>
                  <pic:blipFill>
                    <a:blip r:embed="rId12"/>
                    <a:stretch>
                      <a:fillRect/>
                    </a:stretch>
                  </pic:blipFill>
                  <pic:spPr>
                    <a:xfrm>
                      <a:off x="0" y="0"/>
                      <a:ext cx="4860000" cy="497571"/>
                    </a:xfrm>
                    <a:prstGeom prst="rect"/>
                  </pic:spPr>
                </pic:pic>
              </a:graphicData>
            </a:graphic>
          </wp:inline>
        </w:drawing>
      </w:r>
    </w:p>
    <w:p>
      <w:pPr>
        <w:jc w:val="right"/>
      </w:pPr>
      <w:r>
        <w:rPr>
          <w:rFonts w:ascii="Times New Roman" w:hAnsi="Times New Roman"/>
          <w:sz w:val="24"/>
        </w:rPr>
        <w:t>(1)</w:t>
      </w:r>
    </w:p>
    <w:p>
      <w:pPr>
        <w:jc w:val="center"/>
      </w:pPr>
      <w:r>
        <w:drawing>
          <wp:inline xmlns:a="http://schemas.openxmlformats.org/drawingml/2006/main" xmlns:pic="http://schemas.openxmlformats.org/drawingml/2006/picture">
            <wp:extent cx="4860000" cy="866011"/>
            <wp:docPr id="4" name="Picture 4"/>
            <wp:cNvGraphicFramePr>
              <a:graphicFrameLocks noChangeAspect="1"/>
            </wp:cNvGraphicFramePr>
            <a:graphic>
              <a:graphicData uri="http://schemas.openxmlformats.org/drawingml/2006/picture">
                <pic:pic>
                  <pic:nvPicPr>
                    <pic:cNvPr id="0" name="eq_bilstm.png"/>
                    <pic:cNvPicPr/>
                  </pic:nvPicPr>
                  <pic:blipFill>
                    <a:blip r:embed="rId13"/>
                    <a:stretch>
                      <a:fillRect/>
                    </a:stretch>
                  </pic:blipFill>
                  <pic:spPr>
                    <a:xfrm>
                      <a:off x="0" y="0"/>
                      <a:ext cx="4860000" cy="866011"/>
                    </a:xfrm>
                    <a:prstGeom prst="rect"/>
                  </pic:spPr>
                </pic:pic>
              </a:graphicData>
            </a:graphic>
          </wp:inline>
        </w:drawing>
      </w:r>
    </w:p>
    <w:p>
      <w:pPr>
        <w:jc w:val="right"/>
      </w:pPr>
      <w:r>
        <w:rPr>
          <w:rFonts w:ascii="Times New Roman" w:hAnsi="Times New Roman"/>
          <w:sz w:val="24"/>
        </w:rPr>
        <w:t>(2)</w:t>
      </w:r>
    </w:p>
    <w:p>
      <w:pPr>
        <w:pStyle w:val="Heading3"/>
      </w:pPr>
      <w:r>
        <w:t>3.9.2  Fine-Tuning IndoBERT</w:t>
      </w:r>
    </w:p>
    <w:p>
      <w:pPr>
        <w:spacing w:after="120" w:line="276" w:lineRule="auto"/>
      </w:pPr>
      <w:r>
        <w:rPr>
          <w:rFonts w:ascii="Times New Roman" w:hAnsi="Times New Roman"/>
          <w:sz w:val="24"/>
        </w:rPr>
        <w:t>Sebagai pembanding digunakan IndoBERT (model bahasa Transformer pra-latih berbahasa Indonesia) yang di-</w:t>
      </w:r>
      <w:r>
        <w:rPr>
          <w:rFonts w:ascii="Times New Roman" w:hAnsi="Times New Roman"/>
          <w:b w:val="0"/>
          <w:i/>
          <w:sz w:val="24"/>
        </w:rPr>
        <w:t>fine-tuning</w:t>
      </w:r>
      <w:r>
        <w:rPr>
          <w:rFonts w:ascii="Times New Roman" w:hAnsi="Times New Roman"/>
          <w:sz w:val="24"/>
        </w:rPr>
        <w:t xml:space="preserve"> untuk klasifikasi sekuensi dua kelas dengan kepala softmax dua neuron. Teks dimasukkan apa adanya kepada tokenizer subword bawaan tanpa pembuangan stopword, agar konteks linguistik utuh. Pelatihan memakai data gabungan yang sama persis dengan BiLSTM (latih riil ditambah sintetik) pada belahan validasi dan himpunan beku yang identik, sehingga perbandingan bersifat apel-vs-apel.</w:t>
      </w:r>
    </w:p>
    <w:p>
      <w:pPr>
        <w:pStyle w:val="Heading2"/>
      </w:pPr>
      <w:r>
        <w:t>3.10  Protokol Pelatihan</w:t>
      </w:r>
    </w:p>
    <w:p>
      <w:pPr>
        <w:spacing w:after="120" w:line="276" w:lineRule="auto"/>
      </w:pPr>
      <w:r>
        <w:rPr>
          <w:rFonts w:ascii="Times New Roman" w:hAnsi="Times New Roman"/>
          <w:sz w:val="24"/>
        </w:rPr>
        <w:t xml:space="preserve">Kedua model dilatih dengan fungsi rugi </w:t>
      </w:r>
      <w:r>
        <w:rPr>
          <w:rFonts w:ascii="Times New Roman" w:hAnsi="Times New Roman"/>
          <w:b w:val="0"/>
          <w:i/>
          <w:sz w:val="24"/>
        </w:rPr>
        <w:t>binary cross-entropy</w:t>
      </w:r>
      <w:r>
        <w:rPr>
          <w:rFonts w:ascii="Times New Roman" w:hAnsi="Times New Roman"/>
          <w:sz w:val="24"/>
        </w:rPr>
        <w:t xml:space="preserve"> (Persamaan 3) dan ambang keputusan tetap 0,5 yang tidak pernah disetel. Hiperparameter BiLSTM ditetapkan tunggal (tanpa pencarian acak): batch 16, maksimum 20 epoch, optimizer Adam dengan laju belajar 1×10</w:t>
      </w:r>
      <w:r>
        <w:rPr>
          <w:rFonts w:ascii="Times New Roman" w:hAnsi="Times New Roman"/>
          <w:b w:val="0"/>
          <w:i w:val="0"/>
          <w:sz w:val="24"/>
          <w:vertAlign w:val="superscript"/>
        </w:rPr>
        <w:t>-4</w:t>
      </w:r>
      <w:r>
        <w:rPr>
          <w:rFonts w:ascii="Times New Roman" w:hAnsi="Times New Roman"/>
          <w:sz w:val="24"/>
        </w:rPr>
        <w:t xml:space="preserve">, gradient clipping, </w:t>
      </w:r>
      <w:r>
        <w:rPr>
          <w:rFonts w:ascii="Times New Roman" w:hAnsi="Times New Roman"/>
          <w:b w:val="0"/>
          <w:i/>
          <w:sz w:val="24"/>
        </w:rPr>
        <w:t>early stopping</w:t>
      </w:r>
      <w:r>
        <w:rPr>
          <w:rFonts w:ascii="Times New Roman" w:hAnsi="Times New Roman"/>
          <w:sz w:val="24"/>
        </w:rPr>
        <w:t xml:space="preserve"> berbasis </w:t>
      </w:r>
      <w:r>
        <w:rPr>
          <w:rFonts w:ascii="Times New Roman" w:hAnsi="Times New Roman"/>
          <w:b w:val="0"/>
          <w:i/>
          <w:sz w:val="24"/>
        </w:rPr>
        <w:t>validation loss</w:t>
      </w:r>
      <w:r>
        <w:rPr>
          <w:rFonts w:ascii="Times New Roman" w:hAnsi="Times New Roman"/>
          <w:sz w:val="24"/>
        </w:rPr>
        <w:t xml:space="preserve"> dengan pengembalian bobot terbaik, serta reduksi laju belajar saat plateau. Fine-tuning IndoBERT memakai laju belajar 2×10</w:t>
      </w:r>
      <w:r>
        <w:rPr>
          <w:rFonts w:ascii="Times New Roman" w:hAnsi="Times New Roman"/>
          <w:b w:val="0"/>
          <w:i w:val="0"/>
          <w:sz w:val="24"/>
          <w:vertAlign w:val="superscript"/>
        </w:rPr>
        <w:t>-5</w:t>
      </w:r>
      <w:r>
        <w:rPr>
          <w:rFonts w:ascii="Times New Roman" w:hAnsi="Times New Roman"/>
          <w:sz w:val="24"/>
        </w:rPr>
        <w:t xml:space="preserve">, batch 16, panjang maksimum 256, maksimum 4 epoch, dan </w:t>
      </w:r>
      <w:r>
        <w:rPr>
          <w:rFonts w:ascii="Times New Roman" w:hAnsi="Times New Roman"/>
          <w:b w:val="0"/>
          <w:i/>
          <w:sz w:val="24"/>
        </w:rPr>
        <w:t>early stopping</w:t>
      </w:r>
      <w:r>
        <w:rPr>
          <w:rFonts w:ascii="Times New Roman" w:hAnsi="Times New Roman"/>
          <w:sz w:val="24"/>
        </w:rPr>
        <w:t xml:space="preserve"> patience 2. Reproduksibilitas dikunci melalui benih global 42, operasi deterministik, dan penetapan ulang benih sebelum setiap tahap; seluruh konfigurasi, manifes eksperimen, dan riwayat pelatihan diabadikan.</w:t>
      </w:r>
    </w:p>
    <w:p>
      <w:pPr>
        <w:jc w:val="center"/>
      </w:pPr>
      <w:r>
        <w:drawing>
          <wp:inline xmlns:a="http://schemas.openxmlformats.org/drawingml/2006/main" xmlns:pic="http://schemas.openxmlformats.org/drawingml/2006/picture">
            <wp:extent cx="4860000" cy="993016"/>
            <wp:docPr id="5" name="Picture 5"/>
            <wp:cNvGraphicFramePr>
              <a:graphicFrameLocks noChangeAspect="1"/>
            </wp:cNvGraphicFramePr>
            <a:graphic>
              <a:graphicData uri="http://schemas.openxmlformats.org/drawingml/2006/picture">
                <pic:pic>
                  <pic:nvPicPr>
                    <pic:cNvPr id="0" name="eq_bce.png"/>
                    <pic:cNvPicPr/>
                  </pic:nvPicPr>
                  <pic:blipFill>
                    <a:blip r:embed="rId14"/>
                    <a:stretch>
                      <a:fillRect/>
                    </a:stretch>
                  </pic:blipFill>
                  <pic:spPr>
                    <a:xfrm>
                      <a:off x="0" y="0"/>
                      <a:ext cx="4860000" cy="993016"/>
                    </a:xfrm>
                    <a:prstGeom prst="rect"/>
                  </pic:spPr>
                </pic:pic>
              </a:graphicData>
            </a:graphic>
          </wp:inline>
        </w:drawing>
      </w:r>
    </w:p>
    <w:p>
      <w:pPr>
        <w:jc w:val="right"/>
      </w:pPr>
      <w:r>
        <w:rPr>
          <w:rFonts w:ascii="Times New Roman" w:hAnsi="Times New Roman"/>
          <w:sz w:val="24"/>
        </w:rPr>
        <w:t>(3)</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fill="D9D9D9" w:val="clear"/>
          </w:tcPr>
          <w:p>
            <w:pPr>
              <w:jc w:val="center"/>
            </w:pPr>
            <w:r/>
            <w:r>
              <w:rPr>
                <w:rFonts w:ascii="Times New Roman" w:hAnsi="Times New Roman"/>
                <w:b/>
                <w:sz w:val="20"/>
              </w:rPr>
              <w:t>Hiperparameter</w:t>
            </w:r>
          </w:p>
        </w:tc>
        <w:tc>
          <w:tcPr>
            <w:tcW w:type="dxa" w:w="2948"/>
            <w:shd w:fill="D9D9D9" w:val="clear"/>
          </w:tcPr>
          <w:p>
            <w:pPr>
              <w:jc w:val="center"/>
            </w:pPr>
            <w:r/>
            <w:r>
              <w:rPr>
                <w:rFonts w:ascii="Times New Roman" w:hAnsi="Times New Roman"/>
                <w:b/>
                <w:sz w:val="20"/>
              </w:rPr>
              <w:t>BiLSTM</w:t>
            </w:r>
          </w:p>
        </w:tc>
        <w:tc>
          <w:tcPr>
            <w:tcW w:type="dxa" w:w="2948"/>
            <w:shd w:fill="D9D9D9" w:val="clear"/>
          </w:tcPr>
          <w:p>
            <w:pPr>
              <w:jc w:val="center"/>
            </w:pPr>
            <w:r/>
            <w:r>
              <w:rPr>
                <w:rFonts w:ascii="Times New Roman" w:hAnsi="Times New Roman"/>
                <w:b/>
                <w:sz w:val="20"/>
              </w:rPr>
              <w:t>IndoBERT</w:t>
            </w:r>
          </w:p>
        </w:tc>
      </w:tr>
      <w:tr>
        <w:tc>
          <w:tcPr>
            <w:tcW w:type="dxa" w:w="2835"/>
          </w:tcPr>
          <w:p>
            <w:r/>
            <w:r>
              <w:rPr>
                <w:rFonts w:ascii="Times New Roman" w:hAnsi="Times New Roman"/>
                <w:sz w:val="20"/>
              </w:rPr>
              <w:t>Data latih</w:t>
            </w:r>
          </w:p>
        </w:tc>
        <w:tc>
          <w:tcPr>
            <w:tcW w:type="dxa" w:w="2948"/>
          </w:tcPr>
          <w:p>
            <w:r/>
            <w:r>
              <w:rPr>
                <w:rFonts w:ascii="Times New Roman" w:hAnsi="Times New Roman"/>
                <w:sz w:val="20"/>
              </w:rPr>
              <w:t>Riil + sintetik (pool sama)</w:t>
            </w:r>
          </w:p>
        </w:tc>
        <w:tc>
          <w:tcPr>
            <w:tcW w:type="dxa" w:w="2948"/>
          </w:tcPr>
          <w:p>
            <w:r/>
            <w:r>
              <w:rPr>
                <w:rFonts w:ascii="Times New Roman" w:hAnsi="Times New Roman"/>
                <w:sz w:val="20"/>
              </w:rPr>
              <w:t>Riil + sintetik (pool sama)</w:t>
            </w:r>
          </w:p>
        </w:tc>
      </w:tr>
      <w:tr>
        <w:tc>
          <w:tcPr>
            <w:tcW w:type="dxa" w:w="2835"/>
          </w:tcPr>
          <w:p>
            <w:r/>
            <w:r>
              <w:rPr>
                <w:rFonts w:ascii="Times New Roman" w:hAnsi="Times New Roman"/>
                <w:sz w:val="20"/>
              </w:rPr>
              <w:t>Batch / epoch maks.</w:t>
            </w:r>
          </w:p>
        </w:tc>
        <w:tc>
          <w:tcPr>
            <w:tcW w:type="dxa" w:w="2948"/>
          </w:tcPr>
          <w:p>
            <w:r/>
            <w:r>
              <w:rPr>
                <w:rFonts w:ascii="Times New Roman" w:hAnsi="Times New Roman"/>
                <w:sz w:val="20"/>
              </w:rPr>
              <w:t>16 / 20</w:t>
            </w:r>
          </w:p>
        </w:tc>
        <w:tc>
          <w:tcPr>
            <w:tcW w:type="dxa" w:w="2948"/>
          </w:tcPr>
          <w:p>
            <w:r/>
            <w:r>
              <w:rPr>
                <w:rFonts w:ascii="Times New Roman" w:hAnsi="Times New Roman"/>
                <w:sz w:val="20"/>
              </w:rPr>
              <w:t>16 / 4</w:t>
            </w:r>
          </w:p>
        </w:tc>
      </w:tr>
      <w:tr>
        <w:tc>
          <w:tcPr>
            <w:tcW w:type="dxa" w:w="2835"/>
          </w:tcPr>
          <w:p>
            <w:r/>
            <w:r>
              <w:rPr>
                <w:rFonts w:ascii="Times New Roman" w:hAnsi="Times New Roman"/>
                <w:sz w:val="20"/>
              </w:rPr>
              <w:t>Laju belajar</w:t>
            </w:r>
          </w:p>
        </w:tc>
        <w:tc>
          <w:tcPr>
            <w:tcW w:type="dxa" w:w="2948"/>
          </w:tcPr>
          <w:p>
            <w:r/>
            <w:r>
              <w:rPr>
                <w:rFonts w:ascii="Times New Roman" w:hAnsi="Times New Roman"/>
                <w:sz w:val="20"/>
              </w:rPr>
              <w:t>1×10−4 (Adam)</w:t>
            </w:r>
          </w:p>
        </w:tc>
        <w:tc>
          <w:tcPr>
            <w:tcW w:type="dxa" w:w="2948"/>
          </w:tcPr>
          <w:p>
            <w:r/>
            <w:r>
              <w:rPr>
                <w:rFonts w:ascii="Times New Roman" w:hAnsi="Times New Roman"/>
                <w:sz w:val="20"/>
              </w:rPr>
              <w:t>2×10−5</w:t>
            </w:r>
          </w:p>
        </w:tc>
      </w:tr>
      <w:tr>
        <w:tc>
          <w:tcPr>
            <w:tcW w:type="dxa" w:w="2835"/>
          </w:tcPr>
          <w:p>
            <w:r/>
            <w:r>
              <w:rPr>
                <w:rFonts w:ascii="Times New Roman" w:hAnsi="Times New Roman"/>
                <w:sz w:val="20"/>
              </w:rPr>
              <w:t>Kriteria berhenti</w:t>
            </w:r>
          </w:p>
        </w:tc>
        <w:tc>
          <w:tcPr>
            <w:tcW w:type="dxa" w:w="2948"/>
          </w:tcPr>
          <w:p>
            <w:r/>
            <w:r>
              <w:rPr>
                <w:rFonts w:ascii="Times New Roman" w:hAnsi="Times New Roman"/>
                <w:sz w:val="20"/>
              </w:rPr>
              <w:t>Early stopping (patience 4, pantau val_loss)</w:t>
            </w:r>
          </w:p>
        </w:tc>
        <w:tc>
          <w:tcPr>
            <w:tcW w:type="dxa" w:w="2948"/>
          </w:tcPr>
          <w:p>
            <w:r/>
            <w:r>
              <w:rPr>
                <w:rFonts w:ascii="Times New Roman" w:hAnsi="Times New Roman"/>
                <w:sz w:val="20"/>
              </w:rPr>
              <w:t>Early stopping (patience 2, pantau eval_loss)</w:t>
            </w:r>
          </w:p>
        </w:tc>
      </w:tr>
      <w:tr>
        <w:tc>
          <w:tcPr>
            <w:tcW w:type="dxa" w:w="2835"/>
          </w:tcPr>
          <w:p>
            <w:r/>
            <w:r>
              <w:rPr>
                <w:rFonts w:ascii="Times New Roman" w:hAnsi="Times New Roman"/>
                <w:sz w:val="20"/>
              </w:rPr>
              <w:t>Ambang keputusan</w:t>
            </w:r>
          </w:p>
        </w:tc>
        <w:tc>
          <w:tcPr>
            <w:tcW w:type="dxa" w:w="2948"/>
          </w:tcPr>
          <w:p>
            <w:r/>
            <w:r>
              <w:rPr>
                <w:rFonts w:ascii="Times New Roman" w:hAnsi="Times New Roman"/>
                <w:sz w:val="20"/>
              </w:rPr>
              <w:t>Tetap 0,5</w:t>
            </w:r>
          </w:p>
        </w:tc>
        <w:tc>
          <w:tcPr>
            <w:tcW w:type="dxa" w:w="2948"/>
          </w:tcPr>
          <w:p>
            <w:r/>
            <w:r>
              <w:rPr>
                <w:rFonts w:ascii="Times New Roman" w:hAnsi="Times New Roman"/>
                <w:sz w:val="20"/>
              </w:rPr>
              <w:t>Tetap 0,5</w:t>
            </w:r>
          </w:p>
        </w:tc>
      </w:tr>
      <w:tr>
        <w:tc>
          <w:tcPr>
            <w:tcW w:type="dxa" w:w="2835"/>
          </w:tcPr>
          <w:p>
            <w:r/>
            <w:r>
              <w:rPr>
                <w:rFonts w:ascii="Times New Roman" w:hAnsi="Times New Roman"/>
                <w:sz w:val="20"/>
              </w:rPr>
              <w:t>Benih</w:t>
            </w:r>
          </w:p>
        </w:tc>
        <w:tc>
          <w:tcPr>
            <w:tcW w:type="dxa" w:w="2948"/>
          </w:tcPr>
          <w:p>
            <w:r/>
            <w:r>
              <w:rPr>
                <w:rFonts w:ascii="Times New Roman" w:hAnsi="Times New Roman"/>
                <w:sz w:val="20"/>
              </w:rPr>
              <w:t>42 (deterministik)</w:t>
            </w:r>
          </w:p>
        </w:tc>
        <w:tc>
          <w:tcPr>
            <w:tcW w:type="dxa" w:w="2948"/>
          </w:tcPr>
          <w:p>
            <w:r/>
            <w:r>
              <w:rPr>
                <w:rFonts w:ascii="Times New Roman" w:hAnsi="Times New Roman"/>
                <w:sz w:val="20"/>
              </w:rPr>
              <w:t>42</w:t>
            </w:r>
          </w:p>
        </w:tc>
      </w:tr>
    </w:tbl>
    <w:p>
      <w:pPr>
        <w:spacing w:after="40"/>
      </w:pPr>
    </w:p>
    <w:p>
      <w:pPr>
        <w:spacing w:before="80" w:after="160"/>
        <w:jc w:val="center"/>
      </w:pPr>
      <w:r>
        <w:rPr>
          <w:rFonts w:ascii="Times New Roman" w:hAnsi="Times New Roman"/>
          <w:b/>
          <w:sz w:val="20"/>
        </w:rPr>
        <w:t>Tabel 3.2. Ringkasan protokol pelatihan kedua model.</w:t>
      </w:r>
    </w:p>
    <w:p>
      <w:pPr>
        <w:pStyle w:val="Heading2"/>
      </w:pPr>
      <w:r>
        <w:t>3.11  Protokol Evaluasi</w:t>
      </w:r>
    </w:p>
    <w:p>
      <w:pPr>
        <w:spacing w:after="120" w:line="276" w:lineRule="auto"/>
      </w:pPr>
      <w:r>
        <w:rPr>
          <w:rFonts w:ascii="Times New Roman" w:hAnsi="Times New Roman"/>
          <w:sz w:val="24"/>
        </w:rPr>
        <w:t xml:space="preserve">Evaluasi memakai akurasi, presisi, recall, dan skor-F1 kelas tidak aman, dilengkapi ROC-AUC dan </w:t>
      </w:r>
      <w:r>
        <w:rPr>
          <w:rFonts w:ascii="Times New Roman" w:hAnsi="Times New Roman"/>
          <w:b w:val="0"/>
          <w:i/>
          <w:sz w:val="24"/>
        </w:rPr>
        <w:t>average precision</w:t>
      </w:r>
      <w:r>
        <w:rPr>
          <w:rFonts w:ascii="Times New Roman" w:hAnsi="Times New Roman"/>
          <w:sz w:val="24"/>
        </w:rPr>
        <w:t xml:space="preserve"> dari kurva </w:t>
      </w:r>
      <w:r>
        <w:rPr>
          <w:rFonts w:ascii="Times New Roman" w:hAnsi="Times New Roman"/>
          <w:b w:val="0"/>
          <w:i/>
          <w:sz w:val="24"/>
        </w:rPr>
        <w:t>precision–recall</w:t>
      </w:r>
      <w:r>
        <w:rPr>
          <w:rFonts w:ascii="Times New Roman" w:hAnsi="Times New Roman"/>
          <w:sz w:val="24"/>
        </w:rPr>
        <w:t>. Definisi presisi, recall, dan F1 diberikan pada Persamaan (4); ROC-AUC dibaca sebagai peluang model memberi skor lebih tinggi pada sampel positif acak dibanding sampel negatif acak, sehingga 0,5 berarti setara acakan. Matriks konfusi dilaporkan untuk membedah kesalahan per kelas. Ketidakpastian dilaporkan sebagai interval kepercayaan 95% dari 2.000 ulangan bootstrap terstratifikasi. Analisis kesalahan dilakukan melalui triase tiga arah (acuan vs KB vs model) yang membedakan kesalahan murni model dari kasus yang bahkan KB pun salah, tanpa menyetel apa pun dari himpunan beku.</w:t>
      </w:r>
    </w:p>
    <w:p>
      <w:pPr>
        <w:jc w:val="center"/>
      </w:pPr>
      <w:r>
        <w:drawing>
          <wp:inline xmlns:a="http://schemas.openxmlformats.org/drawingml/2006/main" xmlns:pic="http://schemas.openxmlformats.org/drawingml/2006/picture">
            <wp:extent cx="4860000" cy="761642"/>
            <wp:docPr id="6" name="Picture 6"/>
            <wp:cNvGraphicFramePr>
              <a:graphicFrameLocks noChangeAspect="1"/>
            </wp:cNvGraphicFramePr>
            <a:graphic>
              <a:graphicData uri="http://schemas.openxmlformats.org/drawingml/2006/picture">
                <pic:pic>
                  <pic:nvPicPr>
                    <pic:cNvPr id="0" name="eq_f1.png"/>
                    <pic:cNvPicPr/>
                  </pic:nvPicPr>
                  <pic:blipFill>
                    <a:blip r:embed="rId15"/>
                    <a:stretch>
                      <a:fillRect/>
                    </a:stretch>
                  </pic:blipFill>
                  <pic:spPr>
                    <a:xfrm>
                      <a:off x="0" y="0"/>
                      <a:ext cx="4860000" cy="761642"/>
                    </a:xfrm>
                    <a:prstGeom prst="rect"/>
                  </pic:spPr>
                </pic:pic>
              </a:graphicData>
            </a:graphic>
          </wp:inline>
        </w:drawing>
      </w:r>
    </w:p>
    <w:p>
      <w:pPr>
        <w:jc w:val="right"/>
      </w:pPr>
      <w:r>
        <w:rPr>
          <w:rFonts w:ascii="Times New Roman" w:hAnsi="Times New Roman"/>
          <w:sz w:val="24"/>
        </w:rPr>
        <w:t>(4)</w:t>
      </w:r>
    </w:p>
    <w:p>
      <w:pPr>
        <w:pStyle w:val="Heading1"/>
      </w:pPr>
      <w:r>
        <w:t>4.  HASIL DAN PEMBAHASAN</w:t>
      </w:r>
    </w:p>
    <w:p>
      <w:pPr>
        <w:pStyle w:val="Heading2"/>
      </w:pPr>
      <w:r>
        <w:t>4.1  Pengumpulan Data</w:t>
      </w:r>
    </w:p>
    <w:p>
      <w:pPr>
        <w:spacing w:after="120" w:line="276" w:lineRule="auto"/>
      </w:pPr>
      <w:r>
        <w:rPr>
          <w:rFonts w:ascii="Times New Roman" w:hAnsi="Times New Roman"/>
          <w:sz w:val="24"/>
        </w:rPr>
        <w:t xml:space="preserve">Pengumpulan data menghasilkan 499 teks komposisi produk pangan kemasan yang beredar di ritel Indonesia, terdiri atas 251 sampel </w:t>
      </w:r>
      <w:r>
        <w:rPr>
          <w:rFonts w:ascii="Times New Roman" w:hAnsi="Times New Roman"/>
          <w:b w:val="0"/>
          <w:i/>
          <w:sz w:val="24"/>
        </w:rPr>
        <w:t>unsafe</w:t>
      </w:r>
      <w:r>
        <w:rPr>
          <w:rFonts w:ascii="Times New Roman" w:hAnsi="Times New Roman"/>
          <w:sz w:val="24"/>
        </w:rPr>
        <w:t xml:space="preserve"> (50,3%) dan 248 sampel </w:t>
      </w:r>
      <w:r>
        <w:rPr>
          <w:rFonts w:ascii="Times New Roman" w:hAnsi="Times New Roman"/>
          <w:b w:val="0"/>
          <w:i/>
          <w:sz w:val="24"/>
        </w:rPr>
        <w:t>safe</w:t>
      </w:r>
      <w:r>
        <w:rPr>
          <w:rFonts w:ascii="Times New Roman" w:hAnsi="Times New Roman"/>
          <w:sz w:val="24"/>
        </w:rPr>
        <w:t xml:space="preserve"> (49,7%), sehingga kedua kelas praktis seimbang (Gambar 4.1a). Sumber data terdiri atas tiga komponen: (i) 114 foto kemasan produk (arsip Dataset-Gambar.zip) yang merepresentasikan kondisi akuisisi dunia nyata, (ii) teks komposisi hasil ekstraksi OCR yang dikurasi bersama varian digitalnya (berkas data.csv dan data-mengandung.csv), serta (iii) pelabelan acuan manual per produk. Sebaran label acuan per split disajikan pada Gambar 4.1b, sedangkan tiga contoh sampel ditampilkan pada Tabel 4.1.</w:t>
      </w:r>
    </w:p>
    <w:p>
      <w:pPr>
        <w:jc w:val="center"/>
      </w:pPr>
      <w:r>
        <w:drawing>
          <wp:inline xmlns:a="http://schemas.openxmlformats.org/drawingml/2006/main" xmlns:pic="http://schemas.openxmlformats.org/drawingml/2006/picture">
            <wp:extent cx="5400000" cy="2110474"/>
            <wp:docPr id="7" name="Picture 7"/>
            <wp:cNvGraphicFramePr>
              <a:graphicFrameLocks noChangeAspect="1"/>
            </wp:cNvGraphicFramePr>
            <a:graphic>
              <a:graphicData uri="http://schemas.openxmlformats.org/drawingml/2006/picture">
                <pic:pic>
                  <pic:nvPicPr>
                    <pic:cNvPr id="0" name="fig_distribusi_label.png"/>
                    <pic:cNvPicPr/>
                  </pic:nvPicPr>
                  <pic:blipFill>
                    <a:blip r:embed="rId16"/>
                    <a:stretch>
                      <a:fillRect/>
                    </a:stretch>
                  </pic:blipFill>
                  <pic:spPr>
                    <a:xfrm>
                      <a:off x="0" y="0"/>
                      <a:ext cx="5400000" cy="2110474"/>
                    </a:xfrm>
                    <a:prstGeom prst="rect"/>
                  </pic:spPr>
                </pic:pic>
              </a:graphicData>
            </a:graphic>
          </wp:inline>
        </w:drawing>
      </w:r>
    </w:p>
    <w:p>
      <w:pPr>
        <w:spacing w:before="80" w:after="160"/>
        <w:jc w:val="center"/>
      </w:pPr>
      <w:r>
        <w:rPr>
          <w:rFonts w:ascii="Times New Roman" w:hAnsi="Times New Roman"/>
          <w:b/>
          <w:sz w:val="20"/>
        </w:rPr>
        <w:t>Gambar 4.1. Sebaran label acuan: (a) keseluruhan data riil (n=499); (b) per split (latih n=399, validasi n=50, holdout n=50).</w:t>
      </w:r>
    </w:p>
    <w:tbl>
      <w:tblPr>
        <w:tblStyle w:val="TableGrid"/>
        <w:tblW w:type="auto" w:w="0"/>
        <w:jc w:val="center"/>
        <w:tblLook w:firstColumn="1" w:firstRow="1" w:lastColumn="0" w:lastRow="0" w:noHBand="0" w:noVBand="1" w:val="04A0"/>
      </w:tblPr>
      <w:tblGrid>
        <w:gridCol w:w="3024"/>
        <w:gridCol w:w="3024"/>
        <w:gridCol w:w="3024"/>
      </w:tblGrid>
      <w:tr>
        <w:tc>
          <w:tcPr>
            <w:tcW w:type="dxa" w:w="2041"/>
            <w:shd w:fill="D9D9D9" w:val="clear"/>
          </w:tcPr>
          <w:p>
            <w:pPr>
              <w:jc w:val="center"/>
            </w:pPr>
            <w:r/>
            <w:r>
              <w:rPr>
                <w:rFonts w:ascii="Times New Roman" w:hAnsi="Times New Roman"/>
                <w:b/>
                <w:sz w:val="20"/>
              </w:rPr>
              <w:t>Produk</w:t>
            </w:r>
          </w:p>
        </w:tc>
        <w:tc>
          <w:tcPr>
            <w:tcW w:type="dxa" w:w="1134"/>
            <w:shd w:fill="D9D9D9" w:val="clear"/>
          </w:tcPr>
          <w:p>
            <w:pPr>
              <w:jc w:val="center"/>
            </w:pPr>
            <w:r/>
            <w:r>
              <w:rPr>
                <w:rFonts w:ascii="Times New Roman" w:hAnsi="Times New Roman"/>
                <w:b/>
                <w:sz w:val="20"/>
              </w:rPr>
              <w:t>Label</w:t>
            </w:r>
          </w:p>
        </w:tc>
        <w:tc>
          <w:tcPr>
            <w:tcW w:type="dxa" w:w="5613"/>
            <w:shd w:fill="D9D9D9" w:val="clear"/>
          </w:tcPr>
          <w:p>
            <w:pPr>
              <w:jc w:val="center"/>
            </w:pPr>
            <w:r/>
            <w:r>
              <w:rPr>
                <w:rFonts w:ascii="Times New Roman" w:hAnsi="Times New Roman"/>
                <w:b/>
                <w:sz w:val="20"/>
              </w:rPr>
              <w:t>Kutipan teks komposisi</w:t>
            </w:r>
          </w:p>
        </w:tc>
      </w:tr>
      <w:tr>
        <w:tc>
          <w:tcPr>
            <w:tcW w:type="dxa" w:w="2041"/>
          </w:tcPr>
          <w:p>
            <w:r/>
            <w:r>
              <w:rPr>
                <w:rFonts w:ascii="Times New Roman" w:hAnsi="Times New Roman"/>
                <w:sz w:val="20"/>
              </w:rPr>
              <w:t>alba cheese</w:t>
            </w:r>
          </w:p>
        </w:tc>
        <w:tc>
          <w:tcPr>
            <w:tcW w:type="dxa" w:w="1134"/>
          </w:tcPr>
          <w:p>
            <w:r/>
            <w:r>
              <w:rPr>
                <w:rFonts w:ascii="Times New Roman" w:hAnsi="Times New Roman"/>
                <w:sz w:val="20"/>
              </w:rPr>
              <w:t>unsafe</w:t>
            </w:r>
          </w:p>
        </w:tc>
        <w:tc>
          <w:tcPr>
            <w:tcW w:type="dxa" w:w="5613"/>
          </w:tcPr>
          <w:p>
            <w:r/>
            <w:r>
              <w:rPr>
                <w:rFonts w:ascii="Times New Roman" w:hAnsi="Times New Roman"/>
                <w:sz w:val="20"/>
              </w:rPr>
              <w:t>susu, garam, rennet dari yeast kluyveromyces lactis kultur starter (streptococcus thermophilus, …). Mengandung alergen …</w:t>
            </w:r>
          </w:p>
        </w:tc>
      </w:tr>
      <w:tr>
        <w:tc>
          <w:tcPr>
            <w:tcW w:type="dxa" w:w="2041"/>
          </w:tcPr>
          <w:p>
            <w:r/>
            <w:r>
              <w:rPr>
                <w:rFonts w:ascii="Times New Roman" w:hAnsi="Times New Roman"/>
                <w:sz w:val="20"/>
              </w:rPr>
              <w:t>almond cookies</w:t>
            </w:r>
          </w:p>
        </w:tc>
        <w:tc>
          <w:tcPr>
            <w:tcW w:type="dxa" w:w="1134"/>
          </w:tcPr>
          <w:p>
            <w:r/>
            <w:r>
              <w:rPr>
                <w:rFonts w:ascii="Times New Roman" w:hAnsi="Times New Roman"/>
                <w:sz w:val="20"/>
              </w:rPr>
              <w:t>unsafe</w:t>
            </w:r>
          </w:p>
        </w:tc>
        <w:tc>
          <w:tcPr>
            <w:tcW w:type="dxa" w:w="5613"/>
          </w:tcPr>
          <w:p>
            <w:r/>
            <w:r>
              <w:rPr>
                <w:rFonts w:ascii="Times New Roman" w:hAnsi="Times New Roman"/>
                <w:sz w:val="20"/>
              </w:rPr>
              <w:t>Tepung Terigu, Gula Kristal, Air, Kacang Almond (8%), Mentega Tawar, Mentega, Garam, Susu Evaporasi …</w:t>
            </w:r>
          </w:p>
        </w:tc>
      </w:tr>
      <w:tr>
        <w:tc>
          <w:tcPr>
            <w:tcW w:type="dxa" w:w="2041"/>
          </w:tcPr>
          <w:p>
            <w:r/>
            <w:r>
              <w:rPr>
                <w:rFonts w:ascii="Times New Roman" w:hAnsi="Times New Roman"/>
                <w:sz w:val="20"/>
              </w:rPr>
              <w:t>bihunku rasa soto</w:t>
            </w:r>
          </w:p>
        </w:tc>
        <w:tc>
          <w:tcPr>
            <w:tcW w:type="dxa" w:w="1134"/>
          </w:tcPr>
          <w:p>
            <w:r/>
            <w:r>
              <w:rPr>
                <w:rFonts w:ascii="Times New Roman" w:hAnsi="Times New Roman"/>
                <w:sz w:val="20"/>
              </w:rPr>
              <w:t>safe</w:t>
            </w:r>
          </w:p>
        </w:tc>
        <w:tc>
          <w:tcPr>
            <w:tcW w:type="dxa" w:w="5613"/>
          </w:tcPr>
          <w:p>
            <w:r/>
            <w:r>
              <w:rPr>
                <w:rFonts w:ascii="Times New Roman" w:hAnsi="Times New Roman"/>
                <w:sz w:val="20"/>
              </w:rPr>
              <w:t>Bihun: Pati Jagung, Beras, Pati Tapioka, Pengemulsi Nabati, … Minyak Bumbu: Minyak Nabati, … Cabe Bubuk</w:t>
            </w:r>
          </w:p>
        </w:tc>
      </w:tr>
    </w:tbl>
    <w:p>
      <w:pPr>
        <w:spacing w:after="40"/>
      </w:pPr>
    </w:p>
    <w:p>
      <w:pPr>
        <w:spacing w:before="80" w:after="160"/>
        <w:jc w:val="center"/>
      </w:pPr>
      <w:r>
        <w:rPr>
          <w:rFonts w:ascii="Times New Roman" w:hAnsi="Times New Roman"/>
          <w:b/>
          <w:sz w:val="20"/>
        </w:rPr>
        <w:t>Tabel 4.1. Contoh sampel data: nama produk, label acuan, dan kutipan teks komposisi.</w:t>
      </w:r>
    </w:p>
    <w:p>
      <w:pPr>
        <w:spacing w:after="120" w:line="276" w:lineRule="auto"/>
      </w:pPr>
      <w:r>
        <w:rPr>
          <w:rFonts w:ascii="Times New Roman" w:hAnsi="Times New Roman"/>
          <w:sz w:val="24"/>
        </w:rPr>
        <w:t xml:space="preserve">Dua hal patut digarisbawahi dari Tabel 4.1. </w:t>
      </w:r>
      <w:r>
        <w:rPr>
          <w:rFonts w:ascii="Times New Roman" w:hAnsi="Times New Roman"/>
          <w:b/>
          <w:i w:val="0"/>
          <w:sz w:val="24"/>
        </w:rPr>
        <w:t>Pertama</w:t>
      </w:r>
      <w:r>
        <w:rPr>
          <w:rFonts w:ascii="Times New Roman" w:hAnsi="Times New Roman"/>
          <w:sz w:val="24"/>
        </w:rPr>
        <w:t xml:space="preserve">, teks komposisi bersifat panjang, berisik, dan multibahasa (misalnya istilah Latin kultur starter), sehingga representasi berbasis kata utuh menghadapi kosakata jarang. </w:t>
      </w:r>
      <w:r>
        <w:rPr>
          <w:rFonts w:ascii="Times New Roman" w:hAnsi="Times New Roman"/>
          <w:b/>
          <w:i w:val="0"/>
          <w:sz w:val="24"/>
        </w:rPr>
        <w:t>Kedua</w:t>
      </w:r>
      <w:r>
        <w:rPr>
          <w:rFonts w:ascii="Times New Roman" w:hAnsi="Times New Roman"/>
          <w:sz w:val="24"/>
        </w:rPr>
        <w:t>, penanda alergen sering muncul implisit (misalnya “Mentega” sebagai turunan susu) atau dalam peringatan pemrosesan, sehingga aturan kata-kunci naif tidak mencukupi — temuan ini memotivasi pembangunan KB pada Sub-bab 4.2 dan pemodelan sekuensial pada Sub-bab 4.4–4.5.</w:t>
      </w:r>
    </w:p>
    <w:p>
      <w:pPr>
        <w:pStyle w:val="Heading2"/>
      </w:pPr>
      <w:r>
        <w:t>4.2  Pra-pemrosesan dan Audit Knowledge Base</w:t>
      </w:r>
    </w:p>
    <w:p>
      <w:pPr>
        <w:spacing w:after="120" w:line="276" w:lineRule="auto"/>
      </w:pPr>
      <w:r>
        <w:rPr>
          <w:rFonts w:ascii="Times New Roman" w:hAnsi="Times New Roman"/>
          <w:sz w:val="24"/>
        </w:rPr>
        <w:t xml:space="preserve">Audit KB terhadap 499 label acuan menghasilkan akurasi 0,733, presisi kelas </w:t>
      </w:r>
      <w:r>
        <w:rPr>
          <w:rFonts w:ascii="Times New Roman" w:hAnsi="Times New Roman"/>
          <w:b w:val="0"/>
          <w:i/>
          <w:sz w:val="24"/>
        </w:rPr>
        <w:t>unsafe</w:t>
      </w:r>
      <w:r>
        <w:rPr>
          <w:rFonts w:ascii="Times New Roman" w:hAnsi="Times New Roman"/>
          <w:sz w:val="24"/>
        </w:rPr>
        <w:t xml:space="preserve"> 0,663, recall 0,956, dan F1 0,783 (Tabel 4.2). Polanya jelas: KB hampir tidak pernah melewatkan sampel tidak aman (recall tinggi), tetapi sering menandai sampel aman sebagai tidak aman (presisi rendah). Perilaku ini konsisten dengan desain KB yang mengutamakan </w:t>
      </w:r>
      <w:r>
        <w:rPr>
          <w:rFonts w:ascii="Times New Roman" w:hAnsi="Times New Roman"/>
          <w:b w:val="0"/>
          <w:i/>
          <w:sz w:val="24"/>
        </w:rPr>
        <w:t>peringatan dini</w:t>
      </w:r>
      <w:r>
        <w:rPr>
          <w:rFonts w:ascii="Times New Roman" w:hAnsi="Times New Roman"/>
          <w:sz w:val="24"/>
        </w:rPr>
        <w:t xml:space="preserve"> — frasa seperti “diproduksi dengan peralatan yang juga memproses …” atau kandungan non-kanonis seperti sulfit langsung memicu status tidak aman. Konsekuensinya, KB tepat sebagai bukti diagnostik dan validator data sintetik, tetapi tidak layak sebagai kebenaran acuan; keputusan ini dipertahankan di seluruh eksperimen.</w:t>
      </w:r>
    </w:p>
    <w:tbl>
      <w:tblPr>
        <w:tblStyle w:val="TableGrid"/>
        <w:tblW w:type="auto" w:w="0"/>
        <w:jc w:val="center"/>
        <w:tblLook w:firstColumn="1" w:firstRow="1" w:lastColumn="0" w:lastRow="0" w:noHBand="0" w:noVBand="1" w:val="04A0"/>
      </w:tblPr>
      <w:tblGrid>
        <w:gridCol w:w="4536"/>
        <w:gridCol w:w="4536"/>
      </w:tblGrid>
      <w:tr>
        <w:tc>
          <w:tcPr>
            <w:tcW w:type="dxa" w:w="4252"/>
            <w:shd w:fill="D9D9D9" w:val="clear"/>
          </w:tcPr>
          <w:p>
            <w:pPr>
              <w:jc w:val="center"/>
            </w:pPr>
            <w:r/>
            <w:r>
              <w:rPr>
                <w:rFonts w:ascii="Times New Roman" w:hAnsi="Times New Roman"/>
                <w:b/>
                <w:sz w:val="20"/>
              </w:rPr>
              <w:t>Metrik (kelas unsafe)</w:t>
            </w:r>
          </w:p>
        </w:tc>
        <w:tc>
          <w:tcPr>
            <w:tcW w:type="dxa" w:w="4535"/>
            <w:shd w:fill="D9D9D9" w:val="clear"/>
          </w:tcPr>
          <w:p>
            <w:pPr>
              <w:jc w:val="center"/>
            </w:pPr>
            <w:r/>
            <w:r>
              <w:rPr>
                <w:rFonts w:ascii="Times New Roman" w:hAnsi="Times New Roman"/>
                <w:b/>
                <w:sz w:val="20"/>
              </w:rPr>
              <w:t>Nilai</w:t>
            </w:r>
          </w:p>
        </w:tc>
      </w:tr>
      <w:tr>
        <w:tc>
          <w:tcPr>
            <w:tcW w:type="dxa" w:w="4252"/>
          </w:tcPr>
          <w:p>
            <w:r/>
            <w:r>
              <w:rPr>
                <w:rFonts w:ascii="Times New Roman" w:hAnsi="Times New Roman"/>
                <w:sz w:val="20"/>
              </w:rPr>
              <w:t>Akurasi</w:t>
            </w:r>
          </w:p>
        </w:tc>
        <w:tc>
          <w:tcPr>
            <w:tcW w:type="dxa" w:w="4535"/>
          </w:tcPr>
          <w:p>
            <w:r/>
            <w:r>
              <w:rPr>
                <w:rFonts w:ascii="Times New Roman" w:hAnsi="Times New Roman"/>
                <w:sz w:val="20"/>
              </w:rPr>
              <w:t>0,733</w:t>
            </w:r>
          </w:p>
        </w:tc>
      </w:tr>
      <w:tr>
        <w:tc>
          <w:tcPr>
            <w:tcW w:type="dxa" w:w="4252"/>
          </w:tcPr>
          <w:p>
            <w:r/>
            <w:r>
              <w:rPr>
                <w:rFonts w:ascii="Times New Roman" w:hAnsi="Times New Roman"/>
                <w:sz w:val="20"/>
              </w:rPr>
              <w:t>Presisi</w:t>
            </w:r>
          </w:p>
        </w:tc>
        <w:tc>
          <w:tcPr>
            <w:tcW w:type="dxa" w:w="4535"/>
          </w:tcPr>
          <w:p>
            <w:r/>
            <w:r>
              <w:rPr>
                <w:rFonts w:ascii="Times New Roman" w:hAnsi="Times New Roman"/>
                <w:sz w:val="20"/>
              </w:rPr>
              <w:t>0,663</w:t>
            </w:r>
          </w:p>
        </w:tc>
      </w:tr>
      <w:tr>
        <w:tc>
          <w:tcPr>
            <w:tcW w:type="dxa" w:w="4252"/>
          </w:tcPr>
          <w:p>
            <w:r/>
            <w:r>
              <w:rPr>
                <w:rFonts w:ascii="Times New Roman" w:hAnsi="Times New Roman"/>
                <w:sz w:val="20"/>
              </w:rPr>
              <w:t>Recall</w:t>
            </w:r>
          </w:p>
        </w:tc>
        <w:tc>
          <w:tcPr>
            <w:tcW w:type="dxa" w:w="4535"/>
          </w:tcPr>
          <w:p>
            <w:r/>
            <w:r>
              <w:rPr>
                <w:rFonts w:ascii="Times New Roman" w:hAnsi="Times New Roman"/>
                <w:sz w:val="20"/>
              </w:rPr>
              <w:t>0,956</w:t>
            </w:r>
          </w:p>
        </w:tc>
      </w:tr>
      <w:tr>
        <w:tc>
          <w:tcPr>
            <w:tcW w:type="dxa" w:w="4252"/>
          </w:tcPr>
          <w:p>
            <w:r/>
            <w:r>
              <w:rPr>
                <w:rFonts w:ascii="Times New Roman" w:hAnsi="Times New Roman"/>
                <w:sz w:val="20"/>
              </w:rPr>
              <w:t>Skor-F1</w:t>
            </w:r>
          </w:p>
        </w:tc>
        <w:tc>
          <w:tcPr>
            <w:tcW w:type="dxa" w:w="4535"/>
          </w:tcPr>
          <w:p>
            <w:r/>
            <w:r>
              <w:rPr>
                <w:rFonts w:ascii="Times New Roman" w:hAnsi="Times New Roman"/>
                <w:sz w:val="20"/>
              </w:rPr>
              <w:t>0,783</w:t>
            </w:r>
          </w:p>
        </w:tc>
      </w:tr>
      <w:tr>
        <w:tc>
          <w:tcPr>
            <w:tcW w:type="dxa" w:w="4252"/>
          </w:tcPr>
          <w:p>
            <w:r/>
            <w:r>
              <w:rPr>
                <w:rFonts w:ascii="Times New Roman" w:hAnsi="Times New Roman"/>
                <w:sz w:val="20"/>
              </w:rPr>
              <w:t>n</w:t>
            </w:r>
          </w:p>
        </w:tc>
        <w:tc>
          <w:tcPr>
            <w:tcW w:type="dxa" w:w="4535"/>
          </w:tcPr>
          <w:p>
            <w:r/>
            <w:r>
              <w:rPr>
                <w:rFonts w:ascii="Times New Roman" w:hAnsi="Times New Roman"/>
                <w:sz w:val="20"/>
              </w:rPr>
              <w:t>499</w:t>
            </w:r>
          </w:p>
        </w:tc>
      </w:tr>
    </w:tbl>
    <w:p>
      <w:pPr>
        <w:spacing w:after="40"/>
      </w:pPr>
    </w:p>
    <w:p>
      <w:pPr>
        <w:spacing w:before="80" w:after="160"/>
        <w:jc w:val="center"/>
      </w:pPr>
      <w:r>
        <w:rPr>
          <w:rFonts w:ascii="Times New Roman" w:hAnsi="Times New Roman"/>
          <w:b/>
          <w:sz w:val="20"/>
        </w:rPr>
        <w:t>Tabel 4.2. Kinerja KB berbasis aturan terhadap label acuan (diagnostik, bukan acuan).</w:t>
      </w:r>
    </w:p>
    <w:p>
      <w:pPr>
        <w:spacing w:after="120" w:line="276" w:lineRule="auto"/>
      </w:pPr>
      <w:r>
        <w:rPr>
          <w:rFonts w:ascii="Times New Roman" w:hAnsi="Times New Roman"/>
          <w:sz w:val="24"/>
        </w:rPr>
        <w:t>Audit tingkat token memperkuat kebutuhan pra-pemrosesan yang hati-hati. Pada teks latih riil, rata-rata panjang sekuens adalah 34,3 token (median 28; persentil-95 sebesar 75), sehingga batas max_len=120 menyisakan sekitar 71% padding — fakta yang mendasari keputusan masking pada arsitektur. Sebanyak 37,5% kosakata latih riil adalah hapax legomena (muncul sekali), sekalipun hanya mencakup 2,5% kemunculan token; 132 token berupa digit murni (kadar persen dan takaran) memecah kosakata. Temuan ini menjadi dasar eksperimen ablasi pra-pemrosesan, yang menyimpulkan bahwa masking padding membantu, sedangkan pelipatan digit justru menghilangkan sinyal kadar yang diskriminatif.</w:t>
      </w:r>
    </w:p>
    <w:p>
      <w:pPr>
        <w:pStyle w:val="Heading2"/>
      </w:pPr>
      <w:r>
        <w:t>4.3  Partisi Data dan Audit Leakage</w:t>
      </w:r>
    </w:p>
    <w:p>
      <w:pPr>
        <w:spacing w:after="120" w:line="276" w:lineRule="auto"/>
      </w:pPr>
      <w:r>
        <w:rPr>
          <w:rFonts w:ascii="Times New Roman" w:hAnsi="Times New Roman"/>
          <w:sz w:val="24"/>
        </w:rPr>
        <w:t>Partisi deterministik menghasilkan latih riil 399 sampel (198 safe, 201 unsafe), validasi 50 sampel (25/25), dan himpunan beku 50 sampel (25/25); ditambah 1.000 sampel sintetik (500/500) sehingga pool latih final berukuran 1.399 (Tabel 4.3). Seluruh audit ketiadaan irisan grup produk maupun teks eksak antar-split berstatus PASS, termasuk audit pool latih final terhadap validasi dan himpunan beku. Himpunan beku dikunci berdasarkan daftar nama produk dan tidak pernah memasuki pelatihan maupun penyetelan dalam bentuk apa pun.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268"/>
            <w:shd w:fill="D9D9D9" w:val="clear"/>
          </w:tcPr>
          <w:p>
            <w:pPr>
              <w:jc w:val="center"/>
            </w:pPr>
            <w:r/>
            <w:r>
              <w:rPr>
                <w:rFonts w:ascii="Times New Roman" w:hAnsi="Times New Roman"/>
                <w:b/>
                <w:sz w:val="20"/>
              </w:rPr>
              <w:t>Himpunan</w:t>
            </w:r>
          </w:p>
        </w:tc>
        <w:tc>
          <w:tcPr>
            <w:tcW w:type="dxa" w:w="1247"/>
            <w:shd w:fill="D9D9D9" w:val="clear"/>
          </w:tcPr>
          <w:p>
            <w:pPr>
              <w:jc w:val="center"/>
            </w:pPr>
            <w:r/>
            <w:r>
              <w:rPr>
                <w:rFonts w:ascii="Times New Roman" w:hAnsi="Times New Roman"/>
                <w:b/>
                <w:sz w:val="20"/>
              </w:rPr>
              <w:t>n</w:t>
            </w:r>
          </w:p>
        </w:tc>
        <w:tc>
          <w:tcPr>
            <w:tcW w:type="dxa" w:w="1247"/>
            <w:shd w:fill="D9D9D9" w:val="clear"/>
          </w:tcPr>
          <w:p>
            <w:pPr>
              <w:jc w:val="center"/>
            </w:pPr>
            <w:r/>
            <w:r>
              <w:rPr>
                <w:rFonts w:ascii="Times New Roman" w:hAnsi="Times New Roman"/>
                <w:b/>
                <w:sz w:val="20"/>
              </w:rPr>
              <w:t>Safe</w:t>
            </w:r>
          </w:p>
        </w:tc>
        <w:tc>
          <w:tcPr>
            <w:tcW w:type="dxa" w:w="1247"/>
            <w:shd w:fill="D9D9D9" w:val="clear"/>
          </w:tcPr>
          <w:p>
            <w:pPr>
              <w:jc w:val="center"/>
            </w:pPr>
            <w:r/>
            <w:r>
              <w:rPr>
                <w:rFonts w:ascii="Times New Roman" w:hAnsi="Times New Roman"/>
                <w:b/>
                <w:sz w:val="20"/>
              </w:rPr>
              <w:t>Unsafe</w:t>
            </w:r>
          </w:p>
        </w:tc>
        <w:tc>
          <w:tcPr>
            <w:tcW w:type="dxa" w:w="2778"/>
            <w:shd w:fill="D9D9D9" w:val="clear"/>
          </w:tcPr>
          <w:p>
            <w:pPr>
              <w:jc w:val="center"/>
            </w:pPr>
            <w:r/>
            <w:r>
              <w:rPr>
                <w:rFonts w:ascii="Times New Roman" w:hAnsi="Times New Roman"/>
                <w:b/>
                <w:sz w:val="20"/>
              </w:rPr>
              <w:t>Sumber</w:t>
            </w:r>
          </w:p>
        </w:tc>
      </w:tr>
      <w:tr>
        <w:tc>
          <w:tcPr>
            <w:tcW w:type="dxa" w:w="2268"/>
          </w:tcPr>
          <w:p>
            <w:r/>
            <w:r>
              <w:rPr>
                <w:rFonts w:ascii="Times New Roman" w:hAnsi="Times New Roman"/>
                <w:sz w:val="20"/>
              </w:rPr>
              <w:t>Latih riil</w:t>
            </w:r>
          </w:p>
        </w:tc>
        <w:tc>
          <w:tcPr>
            <w:tcW w:type="dxa" w:w="1247"/>
          </w:tcPr>
          <w:p>
            <w:r/>
            <w:r>
              <w:rPr>
                <w:rFonts w:ascii="Times New Roman" w:hAnsi="Times New Roman"/>
                <w:sz w:val="20"/>
              </w:rPr>
              <w:t>399</w:t>
            </w:r>
          </w:p>
        </w:tc>
        <w:tc>
          <w:tcPr>
            <w:tcW w:type="dxa" w:w="1247"/>
          </w:tcPr>
          <w:p>
            <w:r/>
            <w:r>
              <w:rPr>
                <w:rFonts w:ascii="Times New Roman" w:hAnsi="Times New Roman"/>
                <w:sz w:val="20"/>
              </w:rPr>
              <w:t>198</w:t>
            </w:r>
          </w:p>
        </w:tc>
        <w:tc>
          <w:tcPr>
            <w:tcW w:type="dxa" w:w="1247"/>
          </w:tcPr>
          <w:p>
            <w:r/>
            <w:r>
              <w:rPr>
                <w:rFonts w:ascii="Times New Roman" w:hAnsi="Times New Roman"/>
                <w:sz w:val="20"/>
              </w:rPr>
              <w:t>201</w:t>
            </w:r>
          </w:p>
        </w:tc>
        <w:tc>
          <w:tcPr>
            <w:tcW w:type="dxa" w:w="2778"/>
          </w:tcPr>
          <w:p>
            <w:r/>
            <w:r>
              <w:rPr>
                <w:rFonts w:ascii="Times New Roman" w:hAnsi="Times New Roman"/>
                <w:sz w:val="20"/>
              </w:rPr>
              <w:t>Label acuan</w:t>
            </w:r>
          </w:p>
        </w:tc>
      </w:tr>
      <w:tr>
        <w:tc>
          <w:tcPr>
            <w:tcW w:type="dxa" w:w="2268"/>
          </w:tcPr>
          <w:p>
            <w:r/>
            <w:r>
              <w:rPr>
                <w:rFonts w:ascii="Times New Roman" w:hAnsi="Times New Roman"/>
                <w:sz w:val="20"/>
              </w:rPr>
              <w:t>Latih sintetik</w:t>
            </w:r>
          </w:p>
        </w:tc>
        <w:tc>
          <w:tcPr>
            <w:tcW w:type="dxa" w:w="1247"/>
          </w:tcPr>
          <w:p>
            <w:r/>
            <w:r>
              <w:rPr>
                <w:rFonts w:ascii="Times New Roman" w:hAnsi="Times New Roman"/>
                <w:sz w:val="20"/>
              </w:rPr>
              <w:t>1.000</w:t>
            </w:r>
          </w:p>
        </w:tc>
        <w:tc>
          <w:tcPr>
            <w:tcW w:type="dxa" w:w="1247"/>
          </w:tcPr>
          <w:p>
            <w:r/>
            <w:r>
              <w:rPr>
                <w:rFonts w:ascii="Times New Roman" w:hAnsi="Times New Roman"/>
                <w:sz w:val="20"/>
              </w:rPr>
              <w:t>500</w:t>
            </w:r>
          </w:p>
        </w:tc>
        <w:tc>
          <w:tcPr>
            <w:tcW w:type="dxa" w:w="1247"/>
          </w:tcPr>
          <w:p>
            <w:r/>
            <w:r>
              <w:rPr>
                <w:rFonts w:ascii="Times New Roman" w:hAnsi="Times New Roman"/>
                <w:sz w:val="20"/>
              </w:rPr>
              <w:t>500</w:t>
            </w:r>
          </w:p>
        </w:tc>
        <w:tc>
          <w:tcPr>
            <w:tcW w:type="dxa" w:w="2778"/>
          </w:tcPr>
          <w:p>
            <w:r/>
            <w:r>
              <w:rPr>
                <w:rFonts w:ascii="Times New Roman" w:hAnsi="Times New Roman"/>
                <w:sz w:val="20"/>
              </w:rPr>
              <w:t>Generator KB (sumber latih-riil saja)</w:t>
            </w:r>
          </w:p>
        </w:tc>
      </w:tr>
      <w:tr>
        <w:tc>
          <w:tcPr>
            <w:tcW w:type="dxa" w:w="2268"/>
          </w:tcPr>
          <w:p>
            <w:r/>
            <w:r>
              <w:rPr>
                <w:rFonts w:ascii="Times New Roman" w:hAnsi="Times New Roman"/>
                <w:sz w:val="20"/>
              </w:rPr>
              <w:t>Validasi</w:t>
            </w:r>
          </w:p>
        </w:tc>
        <w:tc>
          <w:tcPr>
            <w:tcW w:type="dxa" w:w="1247"/>
          </w:tcPr>
          <w:p>
            <w:r/>
            <w:r>
              <w:rPr>
                <w:rFonts w:ascii="Times New Roman" w:hAnsi="Times New Roman"/>
                <w:sz w:val="20"/>
              </w:rPr>
              <w:t>50</w:t>
            </w:r>
          </w:p>
        </w:tc>
        <w:tc>
          <w:tcPr>
            <w:tcW w:type="dxa" w:w="1247"/>
          </w:tcPr>
          <w:p>
            <w:r/>
            <w:r>
              <w:rPr>
                <w:rFonts w:ascii="Times New Roman" w:hAnsi="Times New Roman"/>
                <w:sz w:val="20"/>
              </w:rPr>
              <w:t>25</w:t>
            </w:r>
          </w:p>
        </w:tc>
        <w:tc>
          <w:tcPr>
            <w:tcW w:type="dxa" w:w="1247"/>
          </w:tcPr>
          <w:p>
            <w:r/>
            <w:r>
              <w:rPr>
                <w:rFonts w:ascii="Times New Roman" w:hAnsi="Times New Roman"/>
                <w:sz w:val="20"/>
              </w:rPr>
              <w:t>25</w:t>
            </w:r>
          </w:p>
        </w:tc>
        <w:tc>
          <w:tcPr>
            <w:tcW w:type="dxa" w:w="2778"/>
          </w:tcPr>
          <w:p>
            <w:r/>
            <w:r>
              <w:rPr>
                <w:rFonts w:ascii="Times New Roman" w:hAnsi="Times New Roman"/>
                <w:sz w:val="20"/>
              </w:rPr>
              <w:t>Label acuan</w:t>
            </w:r>
          </w:p>
        </w:tc>
      </w:tr>
      <w:tr>
        <w:tc>
          <w:tcPr>
            <w:tcW w:type="dxa" w:w="2268"/>
          </w:tcPr>
          <w:p>
            <w:r/>
            <w:r>
              <w:rPr>
                <w:rFonts w:ascii="Times New Roman" w:hAnsi="Times New Roman"/>
                <w:sz w:val="20"/>
              </w:rPr>
              <w:t>Himpunan beku</w:t>
            </w:r>
          </w:p>
        </w:tc>
        <w:tc>
          <w:tcPr>
            <w:tcW w:type="dxa" w:w="1247"/>
          </w:tcPr>
          <w:p>
            <w:r/>
            <w:r>
              <w:rPr>
                <w:rFonts w:ascii="Times New Roman" w:hAnsi="Times New Roman"/>
                <w:sz w:val="20"/>
              </w:rPr>
              <w:t>50</w:t>
            </w:r>
          </w:p>
        </w:tc>
        <w:tc>
          <w:tcPr>
            <w:tcW w:type="dxa" w:w="1247"/>
          </w:tcPr>
          <w:p>
            <w:r/>
            <w:r>
              <w:rPr>
                <w:rFonts w:ascii="Times New Roman" w:hAnsi="Times New Roman"/>
                <w:sz w:val="20"/>
              </w:rPr>
              <w:t>25</w:t>
            </w:r>
          </w:p>
        </w:tc>
        <w:tc>
          <w:tcPr>
            <w:tcW w:type="dxa" w:w="1247"/>
          </w:tcPr>
          <w:p>
            <w:r/>
            <w:r>
              <w:rPr>
                <w:rFonts w:ascii="Times New Roman" w:hAnsi="Times New Roman"/>
                <w:sz w:val="20"/>
              </w:rPr>
              <w:t>25</w:t>
            </w:r>
          </w:p>
        </w:tc>
        <w:tc>
          <w:tcPr>
            <w:tcW w:type="dxa" w:w="2778"/>
          </w:tcPr>
          <w:p>
            <w:r/>
            <w:r>
              <w:rPr>
                <w:rFonts w:ascii="Times New Roman" w:hAnsi="Times New Roman"/>
                <w:sz w:val="20"/>
              </w:rPr>
              <w:t>Label acuan (terkunci)</w:t>
            </w:r>
          </w:p>
        </w:tc>
      </w:tr>
    </w:tbl>
    <w:p>
      <w:pPr>
        <w:spacing w:after="40"/>
      </w:pPr>
    </w:p>
    <w:p>
      <w:pPr>
        <w:spacing w:before="80" w:after="160"/>
        <w:jc w:val="center"/>
      </w:pPr>
      <w:r>
        <w:rPr>
          <w:rFonts w:ascii="Times New Roman" w:hAnsi="Times New Roman"/>
          <w:b/>
          <w:sz w:val="20"/>
        </w:rPr>
        <w:t>Tabel 4.3. Komposisi partisi data final.</w:t>
      </w:r>
    </w:p>
    <w:p>
      <w:pPr>
        <w:pStyle w:val="Heading2"/>
      </w:pPr>
      <w:r>
        <w:t>4.4  Dinamika Pelatihan BiLSTM</w:t>
      </w:r>
    </w:p>
    <w:p>
      <w:pPr>
        <w:spacing w:after="120" w:line="276" w:lineRule="auto"/>
      </w:pPr>
      <w:r>
        <w:rPr>
          <w:rFonts w:ascii="Times New Roman" w:hAnsi="Times New Roman"/>
          <w:sz w:val="24"/>
        </w:rPr>
        <w:t xml:space="preserve">Riwayat pelatihan BiLSTM selama maksimum 20 epoch ditunjukkan pada Gambar 4.2. Tiga fase terlihat jelas. </w:t>
      </w:r>
      <w:r>
        <w:rPr>
          <w:rFonts w:ascii="Times New Roman" w:hAnsi="Times New Roman"/>
          <w:b/>
          <w:i w:val="0"/>
          <w:sz w:val="24"/>
        </w:rPr>
        <w:t>Fase pertama</w:t>
      </w:r>
      <w:r>
        <w:rPr>
          <w:rFonts w:ascii="Times New Roman" w:hAnsi="Times New Roman"/>
          <w:sz w:val="24"/>
        </w:rPr>
        <w:t xml:space="preserve"> (epoch 1–5) adalah fase belajar cepat: akurasi latih melonjak dari 0,479 menjadi 0,711 dan </w:t>
      </w:r>
      <w:r>
        <w:rPr>
          <w:rFonts w:ascii="Times New Roman" w:hAnsi="Times New Roman"/>
          <w:b w:val="0"/>
          <w:i/>
          <w:sz w:val="24"/>
        </w:rPr>
        <w:t>training loss</w:t>
      </w:r>
      <w:r>
        <w:rPr>
          <w:rFonts w:ascii="Times New Roman" w:hAnsi="Times New Roman"/>
          <w:sz w:val="24"/>
        </w:rPr>
        <w:t xml:space="preserve"> turun dari 0,706 menjadi 0,587, sementara </w:t>
      </w:r>
      <w:r>
        <w:rPr>
          <w:rFonts w:ascii="Times New Roman" w:hAnsi="Times New Roman"/>
          <w:b w:val="0"/>
          <w:i/>
          <w:sz w:val="24"/>
        </w:rPr>
        <w:t>validation loss</w:t>
      </w:r>
      <w:r>
        <w:rPr>
          <w:rFonts w:ascii="Times New Roman" w:hAnsi="Times New Roman"/>
          <w:sz w:val="24"/>
        </w:rPr>
        <w:t xml:space="preserve"> anjlok dari 0,643 menjadi 0,335 — model menemukan struktur utama data. </w:t>
      </w:r>
      <w:r>
        <w:rPr>
          <w:rFonts w:ascii="Times New Roman" w:hAnsi="Times New Roman"/>
          <w:b/>
          <w:i w:val="0"/>
          <w:sz w:val="24"/>
        </w:rPr>
        <w:t>Fase kedua</w:t>
      </w:r>
      <w:r>
        <w:rPr>
          <w:rFonts w:ascii="Times New Roman" w:hAnsi="Times New Roman"/>
          <w:sz w:val="24"/>
        </w:rPr>
        <w:t xml:space="preserve"> (epoch 6–16) adalah fase pemurnian: kedua kurva loss menurun monoton dan beriringan hingga titik terbaik pada epoch 16 (</w:t>
      </w:r>
      <w:r>
        <w:rPr>
          <w:rFonts w:ascii="Times New Roman" w:hAnsi="Times New Roman"/>
          <w:b w:val="0"/>
          <w:i/>
          <w:sz w:val="24"/>
        </w:rPr>
        <w:t>validation loss</w:t>
      </w:r>
      <w:r>
        <w:rPr>
          <w:rFonts w:ascii="Times New Roman" w:hAnsi="Times New Roman"/>
          <w:sz w:val="24"/>
        </w:rPr>
        <w:t xml:space="preserve"> 0,182; akurasi latih 0,924; akurasi validasi 0,92), tanpa pelebaran kesenjangan latih–validasi. </w:t>
      </w:r>
      <w:r>
        <w:rPr>
          <w:rFonts w:ascii="Times New Roman" w:hAnsi="Times New Roman"/>
          <w:b/>
          <w:i w:val="0"/>
          <w:sz w:val="24"/>
        </w:rPr>
        <w:t>Fase ketiga</w:t>
      </w:r>
      <w:r>
        <w:rPr>
          <w:rFonts w:ascii="Times New Roman" w:hAnsi="Times New Roman"/>
          <w:sz w:val="24"/>
        </w:rPr>
        <w:t xml:space="preserve"> (epoch 17–20) menunjukkan gejala awal </w:t>
      </w:r>
      <w:r>
        <w:rPr>
          <w:rFonts w:ascii="Times New Roman" w:hAnsi="Times New Roman"/>
          <w:b w:val="0"/>
          <w:i/>
          <w:sz w:val="24"/>
        </w:rPr>
        <w:t>overfitting</w:t>
      </w:r>
      <w:r>
        <w:rPr>
          <w:rFonts w:ascii="Times New Roman" w:hAnsi="Times New Roman"/>
          <w:sz w:val="24"/>
        </w:rPr>
        <w:t xml:space="preserve">: </w:t>
      </w:r>
      <w:r>
        <w:rPr>
          <w:rFonts w:ascii="Times New Roman" w:hAnsi="Times New Roman"/>
          <w:b w:val="0"/>
          <w:i/>
          <w:sz w:val="24"/>
        </w:rPr>
        <w:t>training loss</w:t>
      </w:r>
      <w:r>
        <w:rPr>
          <w:rFonts w:ascii="Times New Roman" w:hAnsi="Times New Roman"/>
          <w:sz w:val="24"/>
        </w:rPr>
        <w:t xml:space="preserve"> terus turun hingga 0,134, tetapi </w:t>
      </w:r>
      <w:r>
        <w:rPr>
          <w:rFonts w:ascii="Times New Roman" w:hAnsi="Times New Roman"/>
          <w:b w:val="0"/>
          <w:i/>
          <w:sz w:val="24"/>
        </w:rPr>
        <w:t>validation loss</w:t>
      </w:r>
      <w:r>
        <w:rPr>
          <w:rFonts w:ascii="Times New Roman" w:hAnsi="Times New Roman"/>
          <w:sz w:val="24"/>
        </w:rPr>
        <w:t xml:space="preserve"> berbalik naik (0,217; 0,292; 0,336; 0,345). Mekanisme </w:t>
      </w:r>
      <w:r>
        <w:rPr>
          <w:rFonts w:ascii="Times New Roman" w:hAnsi="Times New Roman"/>
          <w:b w:val="0"/>
          <w:i/>
          <w:sz w:val="24"/>
        </w:rPr>
        <w:t>early stopping</w:t>
      </w:r>
      <w:r>
        <w:rPr>
          <w:rFonts w:ascii="Times New Roman" w:hAnsi="Times New Roman"/>
          <w:sz w:val="24"/>
        </w:rPr>
        <w:t xml:space="preserve"> menangkap gejala ini dengan tepat dan mengembalikan bobot epoch 16, sehingga model final bebas dari overfitting lanjut.</w:t>
      </w:r>
    </w:p>
    <w:p>
      <w:pPr>
        <w:jc w:val="center"/>
      </w:pPr>
      <w:r>
        <w:drawing>
          <wp:inline xmlns:a="http://schemas.openxmlformats.org/drawingml/2006/main" xmlns:pic="http://schemas.openxmlformats.org/drawingml/2006/picture">
            <wp:extent cx="5580000" cy="2158139"/>
            <wp:docPr id="8" name="Picture 8"/>
            <wp:cNvGraphicFramePr>
              <a:graphicFrameLocks noChangeAspect="1"/>
            </wp:cNvGraphicFramePr>
            <a:graphic>
              <a:graphicData uri="http://schemas.openxmlformats.org/drawingml/2006/picture">
                <pic:pic>
                  <pic:nvPicPr>
                    <pic:cNvPr id="0" name="fig_training_bilstm.png"/>
                    <pic:cNvPicPr/>
                  </pic:nvPicPr>
                  <pic:blipFill>
                    <a:blip r:embed="rId17"/>
                    <a:stretch>
                      <a:fillRect/>
                    </a:stretch>
                  </pic:blipFill>
                  <pic:spPr>
                    <a:xfrm>
                      <a:off x="0" y="0"/>
                      <a:ext cx="5580000" cy="2158139"/>
                    </a:xfrm>
                    <a:prstGeom prst="rect"/>
                  </pic:spPr>
                </pic:pic>
              </a:graphicData>
            </a:graphic>
          </wp:inline>
        </w:drawing>
      </w:r>
    </w:p>
    <w:p>
      <w:pPr>
        <w:spacing w:before="80" w:after="160"/>
        <w:jc w:val="center"/>
      </w:pPr>
      <w:r>
        <w:rPr>
          <w:rFonts w:ascii="Times New Roman" w:hAnsi="Times New Roman"/>
          <w:b/>
          <w:sz w:val="20"/>
        </w:rPr>
        <w:t>Gambar 4.2. Riwayat pelatihan BiLSTM: (kiri) akurasi dan F1 latih vs validasi; (kanan) loss latih vs validasi. Garis vertikal menandai epoch terbaik (16).</w:t>
      </w:r>
    </w:p>
    <w:p>
      <w:pPr>
        <w:spacing w:after="120" w:line="276" w:lineRule="auto"/>
      </w:pPr>
      <w:r>
        <w:rPr>
          <w:rFonts w:ascii="Times New Roman" w:hAnsi="Times New Roman"/>
          <w:sz w:val="24"/>
        </w:rPr>
        <w:t xml:space="preserve">Dua catatan metodologis penting. </w:t>
      </w:r>
      <w:r>
        <w:rPr>
          <w:rFonts w:ascii="Times New Roman" w:hAnsi="Times New Roman"/>
          <w:b/>
          <w:i w:val="0"/>
          <w:sz w:val="24"/>
        </w:rPr>
        <w:t>Pertama</w:t>
      </w:r>
      <w:r>
        <w:rPr>
          <w:rFonts w:ascii="Times New Roman" w:hAnsi="Times New Roman"/>
          <w:sz w:val="24"/>
        </w:rPr>
        <w:t xml:space="preserve">, fluktuasi kecil kurva validasi (misalnya akurasi validasi berosilasi antara 0,92 dan 0,94) bukanlah overfitting, melainkan kuantisasi sampel kecil: dengan n=50, satu sampel bernilai 2%. </w:t>
      </w:r>
      <w:r>
        <w:rPr>
          <w:rFonts w:ascii="Times New Roman" w:hAnsi="Times New Roman"/>
          <w:b/>
          <w:i w:val="0"/>
          <w:sz w:val="24"/>
        </w:rPr>
        <w:t>Kedua</w:t>
      </w:r>
      <w:r>
        <w:rPr>
          <w:rFonts w:ascii="Times New Roman" w:hAnsi="Times New Roman"/>
          <w:sz w:val="24"/>
        </w:rPr>
        <w:t>, pada epoch 1 akurasi validasi (0,94) tampak lebih tinggi daripada akurasi latih (0,48); hal ini wajar karena regularisasi dropout aktif hanya saat latih dan himpunan latih mengandung sampel sintetik yang lebih sulit, bukan indikasi kebocoran — audit leakage pada Sub-bab 4.3 telah membuktikan ketiadaan irisan.</w:t>
      </w:r>
    </w:p>
    <w:p>
      <w:pPr>
        <w:pStyle w:val="Heading2"/>
      </w:pPr>
      <w:r>
        <w:t>4.5  Dinamika Pelatihan IndoBERT</w:t>
      </w:r>
    </w:p>
    <w:p>
      <w:pPr>
        <w:spacing w:after="120" w:line="276" w:lineRule="auto"/>
      </w:pPr>
      <w:r>
        <w:rPr>
          <w:rFonts w:ascii="Times New Roman" w:hAnsi="Times New Roman"/>
          <w:sz w:val="24"/>
        </w:rPr>
        <w:t xml:space="preserve">Fine-tuning IndoBERT berlangsung selama maksimum 4 epoch (±171 detik) dengan riwayat pada Gambar 4.3. Epoch 1 mencatat </w:t>
      </w:r>
      <w:r>
        <w:rPr>
          <w:rFonts w:ascii="Times New Roman" w:hAnsi="Times New Roman"/>
          <w:b w:val="0"/>
          <w:i/>
          <w:sz w:val="24"/>
        </w:rPr>
        <w:t>training loss</w:t>
      </w:r>
      <w:r>
        <w:rPr>
          <w:rFonts w:ascii="Times New Roman" w:hAnsi="Times New Roman"/>
          <w:sz w:val="24"/>
        </w:rPr>
        <w:t xml:space="preserve"> 1,271 — nilai tinggi yang wajar karena kepala klasifikasi diinisialisasi acak — dengan </w:t>
      </w:r>
      <w:r>
        <w:rPr>
          <w:rFonts w:ascii="Times New Roman" w:hAnsi="Times New Roman"/>
          <w:b w:val="0"/>
          <w:i/>
          <w:sz w:val="24"/>
        </w:rPr>
        <w:t>eval loss</w:t>
      </w:r>
      <w:r>
        <w:rPr>
          <w:rFonts w:ascii="Times New Roman" w:hAnsi="Times New Roman"/>
          <w:sz w:val="24"/>
        </w:rPr>
        <w:t xml:space="preserve"> 0,615 dan F1 validasi 0,941. Epoch 2–3 menunjukkan perbaikan tajam (</w:t>
      </w:r>
      <w:r>
        <w:rPr>
          <w:rFonts w:ascii="Times New Roman" w:hAnsi="Times New Roman"/>
          <w:b w:val="0"/>
          <w:i/>
          <w:sz w:val="24"/>
        </w:rPr>
        <w:t>eval loss</w:t>
      </w:r>
      <w:r>
        <w:rPr>
          <w:rFonts w:ascii="Times New Roman" w:hAnsi="Times New Roman"/>
          <w:sz w:val="24"/>
        </w:rPr>
        <w:t xml:space="preserve"> 0,210 lalu 0,144; F1 validasi 0,980 lalu 0,980; ROC-AUC 0,998 lalu 0,995), dan epoch 3 menjadi titik terbaik. Epoch 4 kembali menunjukkan gejala overfitting awal (</w:t>
      </w:r>
      <w:r>
        <w:rPr>
          <w:rFonts w:ascii="Times New Roman" w:hAnsi="Times New Roman"/>
          <w:b w:val="0"/>
          <w:i/>
          <w:sz w:val="24"/>
        </w:rPr>
        <w:t>eval loss</w:t>
      </w:r>
      <w:r>
        <w:rPr>
          <w:rFonts w:ascii="Times New Roman" w:hAnsi="Times New Roman"/>
          <w:sz w:val="24"/>
        </w:rPr>
        <w:t xml:space="preserve"> naik ke 0,287; F1 turun ke 0,960), sehingga </w:t>
      </w:r>
      <w:r>
        <w:rPr>
          <w:rFonts w:ascii="Times New Roman" w:hAnsi="Times New Roman"/>
          <w:b w:val="0"/>
          <w:i/>
          <w:sz w:val="24"/>
        </w:rPr>
        <w:t>early stopping</w:t>
      </w:r>
      <w:r>
        <w:rPr>
          <w:rFonts w:ascii="Times New Roman" w:hAnsi="Times New Roman"/>
          <w:sz w:val="24"/>
        </w:rPr>
        <w:t xml:space="preserve"> mengembalikan bobot epoch 3. Norma gradien yang melonjak pada epoch 3 (26,3 dari 7,5) sempat teramati tanpa merusak konvergensi; penjepit gradien 1,0 dipasang sebagai pengaman.</w:t>
      </w:r>
    </w:p>
    <w:p>
      <w:pPr>
        <w:jc w:val="center"/>
      </w:pPr>
      <w:r>
        <w:drawing>
          <wp:inline xmlns:a="http://schemas.openxmlformats.org/drawingml/2006/main" xmlns:pic="http://schemas.openxmlformats.org/drawingml/2006/picture">
            <wp:extent cx="5580000" cy="2293744"/>
            <wp:docPr id="9" name="Picture 9"/>
            <wp:cNvGraphicFramePr>
              <a:graphicFrameLocks noChangeAspect="1"/>
            </wp:cNvGraphicFramePr>
            <a:graphic>
              <a:graphicData uri="http://schemas.openxmlformats.org/drawingml/2006/picture">
                <pic:pic>
                  <pic:nvPicPr>
                    <pic:cNvPr id="0" name="fig_training_bert.png"/>
                    <pic:cNvPicPr/>
                  </pic:nvPicPr>
                  <pic:blipFill>
                    <a:blip r:embed="rId18"/>
                    <a:stretch>
                      <a:fillRect/>
                    </a:stretch>
                  </pic:blipFill>
                  <pic:spPr>
                    <a:xfrm>
                      <a:off x="0" y="0"/>
                      <a:ext cx="5580000" cy="2293744"/>
                    </a:xfrm>
                    <a:prstGeom prst="rect"/>
                  </pic:spPr>
                </pic:pic>
              </a:graphicData>
            </a:graphic>
          </wp:inline>
        </w:drawing>
      </w:r>
    </w:p>
    <w:p>
      <w:pPr>
        <w:spacing w:before="80" w:after="160"/>
        <w:jc w:val="center"/>
      </w:pPr>
      <w:r>
        <w:rPr>
          <w:rFonts w:ascii="Times New Roman" w:hAnsi="Times New Roman"/>
          <w:b/>
          <w:sz w:val="20"/>
        </w:rPr>
        <w:t>Gambar 4.3. Riwayat fine-tuning IndoBERT: (kiri) train loss vs eval loss; (kanan) F1 dan ROC-AUC validasi. Garis vertikal menandai epoch terbaik (3).</w:t>
      </w:r>
    </w:p>
    <w:p>
      <w:pPr>
        <w:pStyle w:val="Heading2"/>
      </w:pPr>
      <w:r>
        <w:t>4.6  Hasil Evaluasi</w:t>
      </w:r>
    </w:p>
    <w:p>
      <w:pPr>
        <w:spacing w:after="120" w:line="276" w:lineRule="auto"/>
      </w:pPr>
      <w:r>
        <w:rPr>
          <w:rFonts w:ascii="Times New Roman" w:hAnsi="Times New Roman"/>
          <w:sz w:val="24"/>
        </w:rPr>
        <w:t>Tabel 4.4 dan 4.5 merangkum kinerja kedua model pada ambang tetap 0,5 beserta interval kepercayaan 95% dari 2.000 ulangan bootstrap terstratifikasi. Pada validasi, IndoBERT unggul di semua metrik (F1 0,980; IK 0,936–1,000; AUC 0,995) atas BiLSTM (F1 0,921; IK 0,840–0,980; AUC 0,977). Pada himpunan beku — ukuran yang bersih dari bias seleksi — IndoBERT mencatat F1 0,899 (IK 0,809–0,980; AUC 0,984), sedangkan BiLSTM mencatat F1 0,842 (IK 0,764–0,926; AUC 0,907).</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47"/>
            <w:shd w:fill="D9D9D9" w:val="clear"/>
          </w:tcPr>
          <w:p>
            <w:pPr>
              <w:jc w:val="center"/>
            </w:pPr>
            <w:r/>
            <w:r>
              <w:rPr>
                <w:rFonts w:ascii="Times New Roman" w:hAnsi="Times New Roman"/>
                <w:b/>
                <w:sz w:val="18"/>
              </w:rPr>
              <w:t>Model</w:t>
            </w:r>
          </w:p>
        </w:tc>
        <w:tc>
          <w:tcPr>
            <w:tcW w:type="dxa" w:w="1474"/>
            <w:shd w:fill="D9D9D9" w:val="clear"/>
          </w:tcPr>
          <w:p>
            <w:pPr>
              <w:jc w:val="center"/>
            </w:pPr>
            <w:r/>
            <w:r>
              <w:rPr>
                <w:rFonts w:ascii="Times New Roman" w:hAnsi="Times New Roman"/>
                <w:b/>
                <w:sz w:val="18"/>
              </w:rPr>
              <w:t>Split</w:t>
            </w:r>
          </w:p>
        </w:tc>
        <w:tc>
          <w:tcPr>
            <w:tcW w:type="dxa" w:w="1020"/>
            <w:shd w:fill="D9D9D9" w:val="clear"/>
          </w:tcPr>
          <w:p>
            <w:pPr>
              <w:jc w:val="center"/>
            </w:pPr>
            <w:r/>
            <w:r>
              <w:rPr>
                <w:rFonts w:ascii="Times New Roman" w:hAnsi="Times New Roman"/>
                <w:b/>
                <w:sz w:val="18"/>
              </w:rPr>
              <w:t>Akurasi</w:t>
            </w:r>
          </w:p>
        </w:tc>
        <w:tc>
          <w:tcPr>
            <w:tcW w:type="dxa" w:w="1020"/>
            <w:shd w:fill="D9D9D9" w:val="clear"/>
          </w:tcPr>
          <w:p>
            <w:pPr>
              <w:jc w:val="center"/>
            </w:pPr>
            <w:r/>
            <w:r>
              <w:rPr>
                <w:rFonts w:ascii="Times New Roman" w:hAnsi="Times New Roman"/>
                <w:b/>
                <w:sz w:val="18"/>
              </w:rPr>
              <w:t>Presisi</w:t>
            </w:r>
          </w:p>
        </w:tc>
        <w:tc>
          <w:tcPr>
            <w:tcW w:type="dxa" w:w="1020"/>
            <w:shd w:fill="D9D9D9" w:val="clear"/>
          </w:tcPr>
          <w:p>
            <w:pPr>
              <w:jc w:val="center"/>
            </w:pPr>
            <w:r/>
            <w:r>
              <w:rPr>
                <w:rFonts w:ascii="Times New Roman" w:hAnsi="Times New Roman"/>
                <w:b/>
                <w:sz w:val="18"/>
              </w:rPr>
              <w:t>Recall</w:t>
            </w:r>
          </w:p>
        </w:tc>
        <w:tc>
          <w:tcPr>
            <w:tcW w:type="dxa" w:w="1814"/>
            <w:shd w:fill="D9D9D9" w:val="clear"/>
          </w:tcPr>
          <w:p>
            <w:pPr>
              <w:jc w:val="center"/>
            </w:pPr>
            <w:r/>
            <w:r>
              <w:rPr>
                <w:rFonts w:ascii="Times New Roman" w:hAnsi="Times New Roman"/>
                <w:b/>
                <w:sz w:val="18"/>
              </w:rPr>
              <w:t>F1 [IK 95%]</w:t>
            </w:r>
          </w:p>
        </w:tc>
        <w:tc>
          <w:tcPr>
            <w:tcW w:type="dxa" w:w="1814"/>
            <w:shd w:fill="D9D9D9" w:val="clear"/>
          </w:tcPr>
          <w:p>
            <w:pPr>
              <w:jc w:val="center"/>
            </w:pPr>
            <w:r/>
            <w:r>
              <w:rPr>
                <w:rFonts w:ascii="Times New Roman" w:hAnsi="Times New Roman"/>
                <w:b/>
                <w:sz w:val="18"/>
              </w:rPr>
              <w:t>ROC-AUC [IK 95%]</w:t>
            </w:r>
          </w:p>
        </w:tc>
      </w:tr>
      <w:tr>
        <w:tc>
          <w:tcPr>
            <w:tcW w:type="dxa" w:w="1247"/>
          </w:tcPr>
          <w:p>
            <w:r/>
            <w:r>
              <w:rPr>
                <w:rFonts w:ascii="Times New Roman" w:hAnsi="Times New Roman"/>
                <w:sz w:val="18"/>
              </w:rPr>
              <w:t>BiLSTM</w:t>
            </w:r>
          </w:p>
        </w:tc>
        <w:tc>
          <w:tcPr>
            <w:tcW w:type="dxa" w:w="1474"/>
          </w:tcPr>
          <w:p>
            <w:r/>
            <w:r>
              <w:rPr>
                <w:rFonts w:ascii="Times New Roman" w:hAnsi="Times New Roman"/>
                <w:sz w:val="18"/>
              </w:rPr>
              <w:t>Validasi (50)</w:t>
            </w:r>
          </w:p>
        </w:tc>
        <w:tc>
          <w:tcPr>
            <w:tcW w:type="dxa" w:w="1020"/>
          </w:tcPr>
          <w:p>
            <w:r/>
            <w:r>
              <w:rPr>
                <w:rFonts w:ascii="Times New Roman" w:hAnsi="Times New Roman"/>
                <w:sz w:val="18"/>
              </w:rPr>
              <w:t>0,920</w:t>
            </w:r>
          </w:p>
        </w:tc>
        <w:tc>
          <w:tcPr>
            <w:tcW w:type="dxa" w:w="1020"/>
          </w:tcPr>
          <w:p>
            <w:r/>
            <w:r>
              <w:rPr>
                <w:rFonts w:ascii="Times New Roman" w:hAnsi="Times New Roman"/>
                <w:sz w:val="18"/>
              </w:rPr>
              <w:t>0,920</w:t>
            </w:r>
          </w:p>
        </w:tc>
        <w:tc>
          <w:tcPr>
            <w:tcW w:type="dxa" w:w="1020"/>
          </w:tcPr>
          <w:p>
            <w:r/>
            <w:r>
              <w:rPr>
                <w:rFonts w:ascii="Times New Roman" w:hAnsi="Times New Roman"/>
                <w:sz w:val="18"/>
              </w:rPr>
              <w:t>0,920</w:t>
            </w:r>
          </w:p>
        </w:tc>
        <w:tc>
          <w:tcPr>
            <w:tcW w:type="dxa" w:w="1814"/>
          </w:tcPr>
          <w:p>
            <w:r/>
            <w:r>
              <w:rPr>
                <w:rFonts w:ascii="Times New Roman" w:hAnsi="Times New Roman"/>
                <w:sz w:val="18"/>
              </w:rPr>
              <w:t>0,921 [0,840–0,980]</w:t>
            </w:r>
          </w:p>
        </w:tc>
        <w:tc>
          <w:tcPr>
            <w:tcW w:type="dxa" w:w="1814"/>
          </w:tcPr>
          <w:p>
            <w:r/>
            <w:r>
              <w:rPr>
                <w:rFonts w:ascii="Times New Roman" w:hAnsi="Times New Roman"/>
                <w:sz w:val="18"/>
              </w:rPr>
              <w:t>0,977 [0,930–1,000]</w:t>
            </w:r>
          </w:p>
        </w:tc>
      </w:tr>
      <w:tr>
        <w:tc>
          <w:tcPr>
            <w:tcW w:type="dxa" w:w="1247"/>
          </w:tcPr>
          <w:p>
            <w:r/>
            <w:r>
              <w:rPr>
                <w:rFonts w:ascii="Times New Roman" w:hAnsi="Times New Roman"/>
                <w:sz w:val="18"/>
              </w:rPr>
              <w:t>BiLSTM</w:t>
            </w:r>
          </w:p>
        </w:tc>
        <w:tc>
          <w:tcPr>
            <w:tcW w:type="dxa" w:w="1474"/>
          </w:tcPr>
          <w:p>
            <w:r/>
            <w:r>
              <w:rPr>
                <w:rFonts w:ascii="Times New Roman" w:hAnsi="Times New Roman"/>
                <w:sz w:val="18"/>
              </w:rPr>
              <w:t>Beku (50)</w:t>
            </w:r>
          </w:p>
        </w:tc>
        <w:tc>
          <w:tcPr>
            <w:tcW w:type="dxa" w:w="1020"/>
          </w:tcPr>
          <w:p>
            <w:r/>
            <w:r>
              <w:rPr>
                <w:rFonts w:ascii="Times New Roman" w:hAnsi="Times New Roman"/>
                <w:sz w:val="18"/>
              </w:rPr>
              <w:t>0,820</w:t>
            </w:r>
          </w:p>
        </w:tc>
        <w:tc>
          <w:tcPr>
            <w:tcW w:type="dxa" w:w="1020"/>
          </w:tcPr>
          <w:p>
            <w:r/>
            <w:r>
              <w:rPr>
                <w:rFonts w:ascii="Times New Roman" w:hAnsi="Times New Roman"/>
                <w:sz w:val="18"/>
              </w:rPr>
              <w:t>0,750</w:t>
            </w:r>
          </w:p>
        </w:tc>
        <w:tc>
          <w:tcPr>
            <w:tcW w:type="dxa" w:w="1020"/>
          </w:tcPr>
          <w:p>
            <w:r/>
            <w:r>
              <w:rPr>
                <w:rFonts w:ascii="Times New Roman" w:hAnsi="Times New Roman"/>
                <w:sz w:val="18"/>
              </w:rPr>
              <w:t>0,960</w:t>
            </w:r>
          </w:p>
        </w:tc>
        <w:tc>
          <w:tcPr>
            <w:tcW w:type="dxa" w:w="1814"/>
          </w:tcPr>
          <w:p>
            <w:r/>
            <w:r>
              <w:rPr>
                <w:rFonts w:ascii="Times New Roman" w:hAnsi="Times New Roman"/>
                <w:sz w:val="18"/>
              </w:rPr>
              <w:t>0,842 [0,764–0,926]</w:t>
            </w:r>
          </w:p>
        </w:tc>
        <w:tc>
          <w:tcPr>
            <w:tcW w:type="dxa" w:w="1814"/>
          </w:tcPr>
          <w:p>
            <w:r/>
            <w:r>
              <w:rPr>
                <w:rFonts w:ascii="Times New Roman" w:hAnsi="Times New Roman"/>
                <w:sz w:val="18"/>
              </w:rPr>
              <w:t>0,907 [0,808–0,987]</w:t>
            </w:r>
          </w:p>
        </w:tc>
      </w:tr>
      <w:tr>
        <w:tc>
          <w:tcPr>
            <w:tcW w:type="dxa" w:w="1247"/>
          </w:tcPr>
          <w:p>
            <w:r/>
            <w:r>
              <w:rPr>
                <w:rFonts w:ascii="Times New Roman" w:hAnsi="Times New Roman"/>
                <w:sz w:val="18"/>
              </w:rPr>
              <w:t>IndoBERT</w:t>
            </w:r>
          </w:p>
        </w:tc>
        <w:tc>
          <w:tcPr>
            <w:tcW w:type="dxa" w:w="1474"/>
          </w:tcPr>
          <w:p>
            <w:r/>
            <w:r>
              <w:rPr>
                <w:rFonts w:ascii="Times New Roman" w:hAnsi="Times New Roman"/>
                <w:sz w:val="18"/>
              </w:rPr>
              <w:t>Validasi (50)</w:t>
            </w:r>
          </w:p>
        </w:tc>
        <w:tc>
          <w:tcPr>
            <w:tcW w:type="dxa" w:w="1020"/>
          </w:tcPr>
          <w:p>
            <w:r/>
            <w:r>
              <w:rPr>
                <w:rFonts w:ascii="Times New Roman" w:hAnsi="Times New Roman"/>
                <w:sz w:val="18"/>
              </w:rPr>
              <w:t>0,980</w:t>
            </w:r>
          </w:p>
        </w:tc>
        <w:tc>
          <w:tcPr>
            <w:tcW w:type="dxa" w:w="1020"/>
          </w:tcPr>
          <w:p>
            <w:r/>
            <w:r>
              <w:rPr>
                <w:rFonts w:ascii="Times New Roman" w:hAnsi="Times New Roman"/>
                <w:sz w:val="18"/>
              </w:rPr>
              <w:t>1,000</w:t>
            </w:r>
          </w:p>
        </w:tc>
        <w:tc>
          <w:tcPr>
            <w:tcW w:type="dxa" w:w="1020"/>
          </w:tcPr>
          <w:p>
            <w:r/>
            <w:r>
              <w:rPr>
                <w:rFonts w:ascii="Times New Roman" w:hAnsi="Times New Roman"/>
                <w:sz w:val="18"/>
              </w:rPr>
              <w:t>0,960</w:t>
            </w:r>
          </w:p>
        </w:tc>
        <w:tc>
          <w:tcPr>
            <w:tcW w:type="dxa" w:w="1814"/>
          </w:tcPr>
          <w:p>
            <w:r/>
            <w:r>
              <w:rPr>
                <w:rFonts w:ascii="Times New Roman" w:hAnsi="Times New Roman"/>
                <w:sz w:val="18"/>
              </w:rPr>
              <w:t>0,980 [0,936–1,000]</w:t>
            </w:r>
          </w:p>
        </w:tc>
        <w:tc>
          <w:tcPr>
            <w:tcW w:type="dxa" w:w="1814"/>
          </w:tcPr>
          <w:p>
            <w:r/>
            <w:r>
              <w:rPr>
                <w:rFonts w:ascii="Times New Roman" w:hAnsi="Times New Roman"/>
                <w:sz w:val="18"/>
              </w:rPr>
              <w:t>0,995 [0,981–1,000]</w:t>
            </w:r>
          </w:p>
        </w:tc>
      </w:tr>
      <w:tr>
        <w:tc>
          <w:tcPr>
            <w:tcW w:type="dxa" w:w="1247"/>
          </w:tcPr>
          <w:p>
            <w:r/>
            <w:r>
              <w:rPr>
                <w:rFonts w:ascii="Times New Roman" w:hAnsi="Times New Roman"/>
                <w:sz w:val="18"/>
              </w:rPr>
              <w:t>IndoBERT</w:t>
            </w:r>
          </w:p>
        </w:tc>
        <w:tc>
          <w:tcPr>
            <w:tcW w:type="dxa" w:w="1474"/>
          </w:tcPr>
          <w:p>
            <w:r/>
            <w:r>
              <w:rPr>
                <w:rFonts w:ascii="Times New Roman" w:hAnsi="Times New Roman"/>
                <w:sz w:val="18"/>
              </w:rPr>
              <w:t>Beku (50)</w:t>
            </w:r>
          </w:p>
        </w:tc>
        <w:tc>
          <w:tcPr>
            <w:tcW w:type="dxa" w:w="1020"/>
          </w:tcPr>
          <w:p>
            <w:r/>
            <w:r>
              <w:rPr>
                <w:rFonts w:ascii="Times New Roman" w:hAnsi="Times New Roman"/>
                <w:sz w:val="18"/>
              </w:rPr>
              <w:t>0,900</w:t>
            </w:r>
          </w:p>
        </w:tc>
        <w:tc>
          <w:tcPr>
            <w:tcW w:type="dxa" w:w="1020"/>
          </w:tcPr>
          <w:p>
            <w:r/>
            <w:r>
              <w:rPr>
                <w:rFonts w:ascii="Times New Roman" w:hAnsi="Times New Roman"/>
                <w:sz w:val="18"/>
              </w:rPr>
              <w:t>0,917</w:t>
            </w:r>
          </w:p>
        </w:tc>
        <w:tc>
          <w:tcPr>
            <w:tcW w:type="dxa" w:w="1020"/>
          </w:tcPr>
          <w:p>
            <w:r/>
            <w:r>
              <w:rPr>
                <w:rFonts w:ascii="Times New Roman" w:hAnsi="Times New Roman"/>
                <w:sz w:val="18"/>
              </w:rPr>
              <w:t>0,880</w:t>
            </w:r>
          </w:p>
        </w:tc>
        <w:tc>
          <w:tcPr>
            <w:tcW w:type="dxa" w:w="1814"/>
          </w:tcPr>
          <w:p>
            <w:r/>
            <w:r>
              <w:rPr>
                <w:rFonts w:ascii="Times New Roman" w:hAnsi="Times New Roman"/>
                <w:sz w:val="18"/>
              </w:rPr>
              <w:t>0,899 [0,809–0,980]</w:t>
            </w:r>
          </w:p>
        </w:tc>
        <w:tc>
          <w:tcPr>
            <w:tcW w:type="dxa" w:w="1814"/>
          </w:tcPr>
          <w:p>
            <w:r/>
            <w:r>
              <w:rPr>
                <w:rFonts w:ascii="Times New Roman" w:hAnsi="Times New Roman"/>
                <w:sz w:val="18"/>
              </w:rPr>
              <w:t>0,984 [0,955–1,000]</w:t>
            </w:r>
          </w:p>
        </w:tc>
      </w:tr>
    </w:tbl>
    <w:p>
      <w:pPr>
        <w:spacing w:after="40"/>
      </w:pPr>
    </w:p>
    <w:p>
      <w:pPr>
        <w:spacing w:before="80" w:after="160"/>
        <w:jc w:val="center"/>
      </w:pPr>
      <w:r>
        <w:rPr>
          <w:rFonts w:ascii="Times New Roman" w:hAnsi="Times New Roman"/>
          <w:b/>
          <w:sz w:val="20"/>
        </w:rPr>
        <w:t>Tabel 4.4. Ringkasan evaluasi kedua model pada ambang tetap 0,5 (IK = interval kepercayaan bootstrap 95%, 2.000 ulangan).</w:t>
      </w:r>
    </w:p>
    <w:p>
      <w:pPr>
        <w:pStyle w:val="Heading2"/>
      </w:pPr>
      <w:r>
        <w:t>4.7  Analisis Kurva ROC dan Precision–Recall</w:t>
      </w:r>
    </w:p>
    <w:p>
      <w:pPr>
        <w:spacing w:after="120" w:line="276" w:lineRule="auto"/>
      </w:pPr>
      <w:r>
        <w:rPr>
          <w:rFonts w:ascii="Times New Roman" w:hAnsi="Times New Roman"/>
          <w:sz w:val="24"/>
        </w:rPr>
        <w:t xml:space="preserve">Kurva ROC dan </w:t>
      </w:r>
      <w:r>
        <w:rPr>
          <w:rFonts w:ascii="Times New Roman" w:hAnsi="Times New Roman"/>
          <w:b w:val="0"/>
          <w:i/>
          <w:sz w:val="24"/>
        </w:rPr>
        <w:t>precision–recall</w:t>
      </w:r>
      <w:r>
        <w:rPr>
          <w:rFonts w:ascii="Times New Roman" w:hAnsi="Times New Roman"/>
          <w:sz w:val="24"/>
        </w:rPr>
        <w:t xml:space="preserve"> ditunjukkan pada Gambar 4.4. Keempat kurva ROC menempel di sudut kiri atas dengan AUC 0,907–0,995, artinya kedua model memisahkan kelas dengan kuat dan jauh di atas garis acak (AUC 0,5). Pada himpunan beku, kurva BiLSTM tertinggal dari kurva validasinya pada daerah </w:t>
      </w:r>
      <w:r>
        <w:rPr>
          <w:rFonts w:ascii="Times New Roman" w:hAnsi="Times New Roman"/>
          <w:b w:val="0"/>
          <w:i/>
          <w:sz w:val="24"/>
        </w:rPr>
        <w:t>false positive rate</w:t>
      </w:r>
      <w:r>
        <w:rPr>
          <w:rFonts w:ascii="Times New Roman" w:hAnsi="Times New Roman"/>
          <w:sz w:val="24"/>
        </w:rPr>
        <w:t xml:space="preserve"> rendah — cerminan delapan positif-palsu yang dibahas pada Sub-bab 4.9 — sedangkan kurva IndoBERT validasi dan beku hampir berhimpit, menandakan generalisasi peringkat yang stabil. Kurva </w:t>
      </w:r>
      <w:r>
        <w:rPr>
          <w:rFonts w:ascii="Times New Roman" w:hAnsi="Times New Roman"/>
          <w:b w:val="0"/>
          <w:i/>
          <w:sz w:val="24"/>
        </w:rPr>
        <w:t>precision–recall</w:t>
      </w:r>
      <w:r>
        <w:rPr>
          <w:rFonts w:ascii="Times New Roman" w:hAnsi="Times New Roman"/>
          <w:sz w:val="24"/>
        </w:rPr>
        <w:t xml:space="preserve"> mempertegas hal yang sama: presisi IndoBERT bertahan di atas 0,9 pada hampir seluruh rentang recall, sementara presisi BiLSTM pada himpunan beku meluruh setelah recall 0,9 akibat tumpukan positif-palsu tersebut.</w:t>
      </w:r>
    </w:p>
    <w:p>
      <w:pPr>
        <w:jc w:val="center"/>
      </w:pPr>
      <w:r>
        <w:drawing>
          <wp:inline xmlns:a="http://schemas.openxmlformats.org/drawingml/2006/main" xmlns:pic="http://schemas.openxmlformats.org/drawingml/2006/picture">
            <wp:extent cx="5580000" cy="2463971"/>
            <wp:docPr id="10" name="Picture 10"/>
            <wp:cNvGraphicFramePr>
              <a:graphicFrameLocks noChangeAspect="1"/>
            </wp:cNvGraphicFramePr>
            <a:graphic>
              <a:graphicData uri="http://schemas.openxmlformats.org/drawingml/2006/picture">
                <pic:pic>
                  <pic:nvPicPr>
                    <pic:cNvPr id="0" name="fig_roc_pr.png"/>
                    <pic:cNvPicPr/>
                  </pic:nvPicPr>
                  <pic:blipFill>
                    <a:blip r:embed="rId19"/>
                    <a:stretch>
                      <a:fillRect/>
                    </a:stretch>
                  </pic:blipFill>
                  <pic:spPr>
                    <a:xfrm>
                      <a:off x="0" y="0"/>
                      <a:ext cx="5580000" cy="2463971"/>
                    </a:xfrm>
                    <a:prstGeom prst="rect"/>
                  </pic:spPr>
                </pic:pic>
              </a:graphicData>
            </a:graphic>
          </wp:inline>
        </w:drawing>
      </w:r>
    </w:p>
    <w:p>
      <w:pPr>
        <w:spacing w:before="80" w:after="160"/>
        <w:jc w:val="center"/>
      </w:pPr>
      <w:r>
        <w:rPr>
          <w:rFonts w:ascii="Times New Roman" w:hAnsi="Times New Roman"/>
          <w:b/>
          <w:sz w:val="20"/>
        </w:rPr>
        <w:t>Gambar 4.4. Kurva ROC (kiri) dan precision–recall (kanan) kedua model pada validasi dan himpunan beku.</w:t>
      </w:r>
    </w:p>
    <w:p>
      <w:pPr>
        <w:pStyle w:val="Heading2"/>
      </w:pPr>
      <w:r>
        <w:t>4.8  Matriks Konfusi</w:t>
      </w:r>
    </w:p>
    <w:p>
      <w:pPr>
        <w:spacing w:after="120" w:line="276" w:lineRule="auto"/>
      </w:pPr>
      <w:r>
        <w:rPr>
          <w:rFonts w:ascii="Times New Roman" w:hAnsi="Times New Roman"/>
          <w:sz w:val="24"/>
        </w:rPr>
        <w:t>Matriks konfusi keempat evaluasi ditampilkan pada Gambar 4.5. Pada himpunan beku, BiLSTM menghasilkan 17 benar-safe, 8 positif-palsu, 1 negatif-palsu, dan 24 benar-unsafe; artinya dari 25 sampel aman, sepertiganya salah diklasifikasikan, sementara hampir semua sampel tidak aman tertangkap (recall 0,96). IndoBERT pada himpunan yang sama menghasilkan 23 benar-safe, 2 positif-palsu, 3 negatif-palsu, dan 22 benar-unsafe — profil kesalahan lebih seimbang. Pada validasi, kedua model nyaris sempurna (BiLSTM: 23/2/2/23; IndoBERT: 25/0/1/24). Asimetri ini penting secara substantif: untuk aplikasi keselamatan pangan, negatif-palsu (alergen lolos) jauh lebih berbahaya daripada positif-palsu (peringatan berlebih), sehingga recall tinggi BiLSTM (0,96) tetap bernilai meskipun presisinya lebih rendah.</w:t>
      </w:r>
    </w:p>
    <w:p>
      <w:pPr>
        <w:jc w:val="center"/>
      </w:pPr>
      <w:r>
        <w:drawing>
          <wp:inline xmlns:a="http://schemas.openxmlformats.org/drawingml/2006/main" xmlns:pic="http://schemas.openxmlformats.org/drawingml/2006/picture">
            <wp:extent cx="4860000" cy="3979041"/>
            <wp:docPr id="11" name="Picture 11"/>
            <wp:cNvGraphicFramePr>
              <a:graphicFrameLocks noChangeAspect="1"/>
            </wp:cNvGraphicFramePr>
            <a:graphic>
              <a:graphicData uri="http://schemas.openxmlformats.org/drawingml/2006/picture">
                <pic:pic>
                  <pic:nvPicPr>
                    <pic:cNvPr id="0" name="fig_confusion.png"/>
                    <pic:cNvPicPr/>
                  </pic:nvPicPr>
                  <pic:blipFill>
                    <a:blip r:embed="rId20"/>
                    <a:stretch>
                      <a:fillRect/>
                    </a:stretch>
                  </pic:blipFill>
                  <pic:spPr>
                    <a:xfrm>
                      <a:off x="0" y="0"/>
                      <a:ext cx="4860000" cy="3979041"/>
                    </a:xfrm>
                    <a:prstGeom prst="rect"/>
                  </pic:spPr>
                </pic:pic>
              </a:graphicData>
            </a:graphic>
          </wp:inline>
        </w:drawing>
      </w:r>
    </w:p>
    <w:p>
      <w:pPr>
        <w:spacing w:before="80" w:after="160"/>
        <w:jc w:val="center"/>
      </w:pPr>
      <w:r>
        <w:rPr>
          <w:rFonts w:ascii="Times New Roman" w:hAnsi="Times New Roman"/>
          <w:b/>
          <w:sz w:val="20"/>
        </w:rPr>
        <w:t>Gambar 4.5. Matriks konfusi: (a) BiLSTM validasi, (b) BiLSTM himpunan beku, (c) IndoBERT validasi, (d) IndoBERT himpunan beku.</w:t>
      </w:r>
    </w:p>
    <w:p>
      <w:pPr>
        <w:pStyle w:val="Heading2"/>
      </w:pPr>
      <w:r>
        <w:t>4.9  Analisis Kesalahan</w:t>
      </w:r>
    </w:p>
    <w:p>
      <w:pPr>
        <w:spacing w:after="120" w:line="276" w:lineRule="auto"/>
      </w:pPr>
      <w:r>
        <w:rPr>
          <w:rFonts w:ascii="Times New Roman" w:hAnsi="Times New Roman"/>
          <w:sz w:val="24"/>
        </w:rPr>
        <w:t>Triase tiga arah (acuan vs KB vs model) memisahkan kesalahan murni model dari kasus yang bahkan KB pun salah. Satu-satunya negatif-palsu BiLSTM adalah “alba cheese” (skor 0,074) — ironisnya teksnya secara eksplisit menyebut “susu” dan KB pun menandainya tidak aman; ini murni kegagalan representasi yang menjadi kandidat investigasi lanjutan. Dari delapan positif-palsu BiLSTM, lima disepakati oleh KB (misalnya “basreng super” yang mengandung frasa “Ikan Segar”, dan “rumput laut mama suka” dengan skor 0,993): teks-teks ini memang mengandung bukti alergen tekstual sehingga label safe-nya patut ditinjau ulang — temuan ini dikembalikan sebagai antrean telaah label, bukan sebagai dasar penyetelan model. Tiga positif-palsu murni-model (“bihunku rasa soto” 0,998; “kentang home” 0,705; “fukumi beras porang” 0,509) menunjukkan model masih terkecoh oleh komposisi nabati yang panjang dan kompleks.</w:t>
      </w:r>
    </w:p>
    <w:p>
      <w:pPr>
        <w:spacing w:after="120" w:line="276" w:lineRule="auto"/>
      </w:pPr>
      <w:r>
        <w:rPr>
          <w:rFonts w:ascii="Times New Roman" w:hAnsi="Times New Roman"/>
          <w:sz w:val="24"/>
        </w:rPr>
        <w:t>Pola kesalahan IndoBERT berbeda dan saling melengkapi: tiga negatif-palsu himpunan beku (“bihunku rasa ayam bawang” 0,391; “brook farm fresh milk” 0,246; “brook farm strawberry milk” 0,359) seluruhnya adalah produk susu/minuman yang teksnya pendek atau didominasi perisa, sedangkan dua positif-palsunya (“kemplang udang” 0,981 — juga salah oleh BiLSTM — dan “poco loco salted tortilla chips” 0,522) melibatkan istilah ambiguitas lintas-kategori. Satu-satunya kesalahan validasi IndoBERT (“butter salted”, skor 0,100) sekaligus merupakan kasus KB-miss, menunjukkan batas pengetahuan leksikal yang dimiliki bersama oleh pendekatan aturan dan statistik pada frasa tak baku.</w:t>
      </w:r>
    </w:p>
    <w:p>
      <w:pPr>
        <w:pStyle w:val="Heading2"/>
      </w:pPr>
      <w:r>
        <w:t>4.10  Perbandingan BiLSTM dan IndoBERT</w:t>
      </w:r>
    </w:p>
    <w:p>
      <w:pPr>
        <w:spacing w:after="120" w:line="276" w:lineRule="auto"/>
      </w:pPr>
      <w:r>
        <w:rPr>
          <w:rFonts w:ascii="Times New Roman" w:hAnsi="Times New Roman"/>
          <w:sz w:val="24"/>
        </w:rPr>
        <w:t>Perbandingan apel-vs-apel dimungkinkan karena kedua model memakai pool latih, validasi, himpunan beku, dan ambang yang identik. Estimasi titik memihak IndoBERT di hampir semua metrik (misalnya F1 beku 0,899 vs 0,842; AUC 0,984 vs 0,907), kecuali recall himpunan beku yang dimenangkan BiLSTM (0,96 vs 0,88). Namun interval kepercayaan 95% keduanya bertumpang-tindih pada himpunan beku (F1: 0,764–0,926 vs 0,809–0,980), sehingga klaim superioritas statistik memerlukan himpunan uji yang lebih besar — kejujuran ini kami nyatakan eksplisit agar tidak terjadi overklaim. Secara praktis, IndoBERT unggul karena representasi kontekstual dan tokenisasi subword-nya tahan terhadap kosakata jarang dan galat OCR yang melumpuhkan embedding kata-utuh Word2Vec (OOV validasi 3,96%; holdout 5,01%), dengan harga komputasi dan ketergantungan pra-latih yang jauh lebih besar.</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fill="D9D9D9" w:val="clear"/>
          </w:tcPr>
          <w:p>
            <w:pPr>
              <w:jc w:val="center"/>
            </w:pPr>
            <w:r/>
            <w:r>
              <w:rPr>
                <w:rFonts w:ascii="Times New Roman" w:hAnsi="Times New Roman"/>
                <w:b/>
                <w:sz w:val="20"/>
              </w:rPr>
              <w:t>Aspek</w:t>
            </w:r>
          </w:p>
        </w:tc>
        <w:tc>
          <w:tcPr>
            <w:tcW w:type="dxa" w:w="2948"/>
            <w:shd w:fill="D9D9D9" w:val="clear"/>
          </w:tcPr>
          <w:p>
            <w:pPr>
              <w:jc w:val="center"/>
            </w:pPr>
            <w:r/>
            <w:r>
              <w:rPr>
                <w:rFonts w:ascii="Times New Roman" w:hAnsi="Times New Roman"/>
                <w:b/>
                <w:sz w:val="20"/>
              </w:rPr>
              <w:t>BiLSTM</w:t>
            </w:r>
          </w:p>
        </w:tc>
        <w:tc>
          <w:tcPr>
            <w:tcW w:type="dxa" w:w="2948"/>
            <w:shd w:fill="D9D9D9" w:val="clear"/>
          </w:tcPr>
          <w:p>
            <w:pPr>
              <w:jc w:val="center"/>
            </w:pPr>
            <w:r/>
            <w:r>
              <w:rPr>
                <w:rFonts w:ascii="Times New Roman" w:hAnsi="Times New Roman"/>
                <w:b/>
                <w:sz w:val="20"/>
              </w:rPr>
              <w:t>IndoBERT</w:t>
            </w:r>
          </w:p>
        </w:tc>
      </w:tr>
      <w:tr>
        <w:tc>
          <w:tcPr>
            <w:tcW w:type="dxa" w:w="2835"/>
          </w:tcPr>
          <w:p>
            <w:r/>
            <w:r>
              <w:rPr>
                <w:rFonts w:ascii="Times New Roman" w:hAnsi="Times New Roman"/>
                <w:sz w:val="20"/>
              </w:rPr>
              <w:t>F1 beku</w:t>
            </w:r>
          </w:p>
        </w:tc>
        <w:tc>
          <w:tcPr>
            <w:tcW w:type="dxa" w:w="2948"/>
          </w:tcPr>
          <w:p>
            <w:r/>
            <w:r>
              <w:rPr>
                <w:rFonts w:ascii="Times New Roman" w:hAnsi="Times New Roman"/>
                <w:sz w:val="20"/>
              </w:rPr>
              <w:t>0,842</w:t>
            </w:r>
          </w:p>
        </w:tc>
        <w:tc>
          <w:tcPr>
            <w:tcW w:type="dxa" w:w="2948"/>
          </w:tcPr>
          <w:p>
            <w:r/>
            <w:r>
              <w:rPr>
                <w:rFonts w:ascii="Times New Roman" w:hAnsi="Times New Roman"/>
                <w:sz w:val="20"/>
              </w:rPr>
              <w:t>0,899</w:t>
            </w:r>
          </w:p>
        </w:tc>
      </w:tr>
      <w:tr>
        <w:tc>
          <w:tcPr>
            <w:tcW w:type="dxa" w:w="2835"/>
          </w:tcPr>
          <w:p>
            <w:r/>
            <w:r>
              <w:rPr>
                <w:rFonts w:ascii="Times New Roman" w:hAnsi="Times New Roman"/>
                <w:sz w:val="20"/>
              </w:rPr>
              <w:t>AUC beku</w:t>
            </w:r>
          </w:p>
        </w:tc>
        <w:tc>
          <w:tcPr>
            <w:tcW w:type="dxa" w:w="2948"/>
          </w:tcPr>
          <w:p>
            <w:r/>
            <w:r>
              <w:rPr>
                <w:rFonts w:ascii="Times New Roman" w:hAnsi="Times New Roman"/>
                <w:sz w:val="20"/>
              </w:rPr>
              <w:t>0,907</w:t>
            </w:r>
          </w:p>
        </w:tc>
        <w:tc>
          <w:tcPr>
            <w:tcW w:type="dxa" w:w="2948"/>
          </w:tcPr>
          <w:p>
            <w:r/>
            <w:r>
              <w:rPr>
                <w:rFonts w:ascii="Times New Roman" w:hAnsi="Times New Roman"/>
                <w:sz w:val="20"/>
              </w:rPr>
              <w:t>0,984</w:t>
            </w:r>
          </w:p>
        </w:tc>
      </w:tr>
      <w:tr>
        <w:tc>
          <w:tcPr>
            <w:tcW w:type="dxa" w:w="2835"/>
          </w:tcPr>
          <w:p>
            <w:r/>
            <w:r>
              <w:rPr>
                <w:rFonts w:ascii="Times New Roman" w:hAnsi="Times New Roman"/>
                <w:sz w:val="20"/>
              </w:rPr>
              <w:t>Recall beku</w:t>
            </w:r>
          </w:p>
        </w:tc>
        <w:tc>
          <w:tcPr>
            <w:tcW w:type="dxa" w:w="2948"/>
          </w:tcPr>
          <w:p>
            <w:r/>
            <w:r>
              <w:rPr>
                <w:rFonts w:ascii="Times New Roman" w:hAnsi="Times New Roman"/>
                <w:sz w:val="20"/>
              </w:rPr>
              <w:t>0,960 (unggul)</w:t>
            </w:r>
          </w:p>
        </w:tc>
        <w:tc>
          <w:tcPr>
            <w:tcW w:type="dxa" w:w="2948"/>
          </w:tcPr>
          <w:p>
            <w:r/>
            <w:r>
              <w:rPr>
                <w:rFonts w:ascii="Times New Roman" w:hAnsi="Times New Roman"/>
                <w:sz w:val="20"/>
              </w:rPr>
              <w:t>0,880</w:t>
            </w:r>
          </w:p>
        </w:tc>
      </w:tr>
      <w:tr>
        <w:tc>
          <w:tcPr>
            <w:tcW w:type="dxa" w:w="2835"/>
          </w:tcPr>
          <w:p>
            <w:r/>
            <w:r>
              <w:rPr>
                <w:rFonts w:ascii="Times New Roman" w:hAnsi="Times New Roman"/>
                <w:sz w:val="20"/>
              </w:rPr>
              <w:t>Ketahanan OOV/galat OCR</w:t>
            </w:r>
          </w:p>
        </w:tc>
        <w:tc>
          <w:tcPr>
            <w:tcW w:type="dxa" w:w="2948"/>
          </w:tcPr>
          <w:p>
            <w:r/>
            <w:r>
              <w:rPr>
                <w:rFonts w:ascii="Times New Roman" w:hAnsi="Times New Roman"/>
                <w:sz w:val="20"/>
              </w:rPr>
              <w:t>Terbatas (kata utuh)</w:t>
            </w:r>
          </w:p>
        </w:tc>
        <w:tc>
          <w:tcPr>
            <w:tcW w:type="dxa" w:w="2948"/>
          </w:tcPr>
          <w:p>
            <w:r/>
            <w:r>
              <w:rPr>
                <w:rFonts w:ascii="Times New Roman" w:hAnsi="Times New Roman"/>
                <w:sz w:val="20"/>
              </w:rPr>
              <w:t>Kuat (subword + konteks)</w:t>
            </w:r>
          </w:p>
        </w:tc>
      </w:tr>
      <w:tr>
        <w:tc>
          <w:tcPr>
            <w:tcW w:type="dxa" w:w="2835"/>
          </w:tcPr>
          <w:p>
            <w:r/>
            <w:r>
              <w:rPr>
                <w:rFonts w:ascii="Times New Roman" w:hAnsi="Times New Roman"/>
                <w:sz w:val="20"/>
              </w:rPr>
              <w:t>Biaya</w:t>
            </w:r>
          </w:p>
        </w:tc>
        <w:tc>
          <w:tcPr>
            <w:tcW w:type="dxa" w:w="2948"/>
          </w:tcPr>
          <w:p>
            <w:r/>
            <w:r>
              <w:rPr>
                <w:rFonts w:ascii="Times New Roman" w:hAnsi="Times New Roman"/>
                <w:sz w:val="20"/>
              </w:rPr>
              <w:t>Ringan (CPU)</w:t>
            </w:r>
          </w:p>
        </w:tc>
        <w:tc>
          <w:tcPr>
            <w:tcW w:type="dxa" w:w="2948"/>
          </w:tcPr>
          <w:p>
            <w:r/>
            <w:r>
              <w:rPr>
                <w:rFonts w:ascii="Times New Roman" w:hAnsi="Times New Roman"/>
                <w:sz w:val="20"/>
              </w:rPr>
              <w:t>Berat (pra-latih + GPU disarankan)</w:t>
            </w:r>
          </w:p>
        </w:tc>
      </w:tr>
    </w:tbl>
    <w:p>
      <w:pPr>
        <w:spacing w:after="40"/>
      </w:pPr>
    </w:p>
    <w:p>
      <w:pPr>
        <w:spacing w:before="80" w:after="160"/>
        <w:jc w:val="center"/>
      </w:pPr>
      <w:r>
        <w:rPr>
          <w:rFonts w:ascii="Times New Roman" w:hAnsi="Times New Roman"/>
          <w:b/>
          <w:sz w:val="20"/>
        </w:rPr>
        <w:t>Tabel 4.5. Ringkasan perbandingan kedua model.</w:t>
      </w:r>
    </w:p>
    <w:p>
      <w:pPr>
        <w:pStyle w:val="Heading2"/>
      </w:pPr>
      <w:r>
        <w:t>4.11  Pembahasan</w:t>
      </w:r>
    </w:p>
    <w:p>
      <w:pPr>
        <w:spacing w:after="120" w:line="276" w:lineRule="auto"/>
      </w:pPr>
      <w:r>
        <w:rPr>
          <w:rFonts w:ascii="Times New Roman" w:hAnsi="Times New Roman"/>
          <w:sz w:val="24"/>
        </w:rPr>
        <w:t xml:space="preserve">Kontribusi utama penelitian ini bersifat ganda. </w:t>
      </w:r>
      <w:r>
        <w:rPr>
          <w:rFonts w:ascii="Times New Roman" w:hAnsi="Times New Roman"/>
          <w:b/>
          <w:i w:val="0"/>
          <w:sz w:val="24"/>
        </w:rPr>
        <w:t>Pertama</w:t>
      </w:r>
      <w:r>
        <w:rPr>
          <w:rFonts w:ascii="Times New Roman" w:hAnsi="Times New Roman"/>
          <w:sz w:val="24"/>
        </w:rPr>
        <w:t xml:space="preserve">, dari sisi metodologis, protokol anti-leakage (partisi union-find dua lapis, himpunan beku terkunci, sintetikbersumber latih-riil, ambang tetap) membuktikan bahwa evaluasi yang jujur dimungkinkan pada data kecil tanpa mengorbankan validitas — seluruh audit berstatus lolos dan setiap angka dilaporkan beserta ketidakpastiannya. </w:t>
      </w:r>
      <w:r>
        <w:rPr>
          <w:rFonts w:ascii="Times New Roman" w:hAnsi="Times New Roman"/>
          <w:b/>
          <w:i w:val="0"/>
          <w:sz w:val="24"/>
        </w:rPr>
        <w:t>Kedua</w:t>
      </w:r>
      <w:r>
        <w:rPr>
          <w:rFonts w:ascii="Times New Roman" w:hAnsi="Times New Roman"/>
          <w:sz w:val="24"/>
        </w:rPr>
        <w:t>, dari sisi empiris, kedua model melampaui baseline aturan KB (F1 0,783) dengan margin besar, dan sistem yang dihasilkan telah dioperasikan sebagai layanan deteksi (antarmuka teks dan citra) sehingga manfaatnya langsung teruji di luar laboratorium.</w:t>
      </w:r>
    </w:p>
    <w:p>
      <w:pPr>
        <w:spacing w:after="120" w:line="276" w:lineRule="auto"/>
      </w:pPr>
      <w:r>
        <w:rPr>
          <w:rFonts w:ascii="Times New Roman" w:hAnsi="Times New Roman"/>
          <w:sz w:val="24"/>
        </w:rPr>
        <w:t xml:space="preserve">Keterbatasan yang diakui secara terbuka adalah sebagai berikut. </w:t>
      </w:r>
      <w:r>
        <w:rPr>
          <w:rFonts w:ascii="Times New Roman" w:hAnsi="Times New Roman"/>
          <w:b/>
          <w:i w:val="0"/>
          <w:sz w:val="24"/>
        </w:rPr>
        <w:t>Pertama</w:t>
      </w:r>
      <w:r>
        <w:rPr>
          <w:rFonts w:ascii="Times New Roman" w:hAnsi="Times New Roman"/>
          <w:sz w:val="24"/>
        </w:rPr>
        <w:t xml:space="preserve">, teks latih berasal dari ekstraksi OCR sehingga galat baca dapat merambat; kasus “butter salted” menunjukkan kegagalan bersama aturan dan statistik pada frasa tak baku. </w:t>
      </w:r>
      <w:r>
        <w:rPr>
          <w:rFonts w:ascii="Times New Roman" w:hAnsi="Times New Roman"/>
          <w:b/>
          <w:i w:val="0"/>
          <w:sz w:val="24"/>
        </w:rPr>
        <w:t>Kedua</w:t>
      </w:r>
      <w:r>
        <w:rPr>
          <w:rFonts w:ascii="Times New Roman" w:hAnsi="Times New Roman"/>
          <w:sz w:val="24"/>
        </w:rPr>
        <w:t xml:space="preserve">, data sintetik bersifat template dan kosakatanya merupakan subset kosakata riil, sehingga kontribusinya lebih pada regularisasi daripada pengetahuan baru. </w:t>
      </w:r>
      <w:r>
        <w:rPr>
          <w:rFonts w:ascii="Times New Roman" w:hAnsi="Times New Roman"/>
          <w:b/>
          <w:i w:val="0"/>
          <w:sz w:val="24"/>
        </w:rPr>
        <w:t>Ketiga</w:t>
      </w:r>
      <w:r>
        <w:rPr>
          <w:rFonts w:ascii="Times New Roman" w:hAnsi="Times New Roman"/>
          <w:sz w:val="24"/>
        </w:rPr>
        <w:t xml:space="preserve">, satu ambang global 0,5 belum tentu optimal untuk tiap kategori alergen; analisis ambang per kategori disarankan sebagai riset lanjutan. </w:t>
      </w:r>
      <w:r>
        <w:rPr>
          <w:rFonts w:ascii="Times New Roman" w:hAnsi="Times New Roman"/>
          <w:b/>
          <w:i w:val="0"/>
          <w:sz w:val="24"/>
        </w:rPr>
        <w:t>Keempat</w:t>
      </w:r>
      <w:r>
        <w:rPr>
          <w:rFonts w:ascii="Times New Roman" w:hAnsi="Times New Roman"/>
          <w:sz w:val="24"/>
        </w:rPr>
        <w:t>, cakupan produk terbatas pada ritel Indonesia dan delapan kategori kanonis. Riset lanjutan yang disarankan mencakup kalibrasi probabilitas, arsitektur multimodal citra-teks, serta uji signifikansi pada himpunan beku yang lebih besar.</w:t>
      </w:r>
    </w:p>
    <w:p>
      <w:pPr>
        <w:pStyle w:val="Heading1"/>
      </w:pPr>
      <w:r>
        <w:t>DAFTAR PUSTAKA</w:t>
      </w:r>
    </w:p>
    <w:p>
      <w:pPr>
        <w:pStyle w:val="ListBullet"/>
        <w:ind w:left="567" w:hanging="567"/>
        <w:jc w:val="both"/>
      </w:pPr>
      <w:r>
        <w:rPr>
          <w:rFonts w:ascii="Times New Roman" w:hAnsi="Times New Roman"/>
          <w:sz w:val="22"/>
        </w:rPr>
        <w:t>Devlin, J., Chang, M.-W., Lee, K., &amp; Toutanova, K. (2019). BERT: Pre-training of deep bidirectional transformers for language understanding. Proceedings of NAACL-HLT.</w:t>
      </w:r>
    </w:p>
    <w:p>
      <w:pPr>
        <w:pStyle w:val="ListBullet"/>
        <w:ind w:left="567" w:hanging="567"/>
        <w:jc w:val="both"/>
      </w:pPr>
      <w:r>
        <w:rPr>
          <w:rFonts w:ascii="Times New Roman" w:hAnsi="Times New Roman"/>
          <w:sz w:val="22"/>
        </w:rPr>
        <w:t>Dietterich, T. G. (1998). Approximate statistical tests for comparing supervised classification learning algorithms. Neural Computation, 10(7), 1723–1757.</w:t>
      </w:r>
    </w:p>
    <w:p>
      <w:pPr>
        <w:pStyle w:val="ListBullet"/>
        <w:ind w:left="567" w:hanging="567"/>
        <w:jc w:val="both"/>
      </w:pPr>
      <w:r>
        <w:rPr>
          <w:rFonts w:ascii="Times New Roman" w:hAnsi="Times New Roman"/>
          <w:sz w:val="22"/>
        </w:rPr>
        <w:t>Efron, B., &amp; Tibshirani, R. J. (1993). An Introduction to the Bootstrap. Chapman &amp; Hall.</w:t>
      </w:r>
    </w:p>
    <w:p>
      <w:pPr>
        <w:pStyle w:val="ListBullet"/>
        <w:ind w:left="567" w:hanging="567"/>
        <w:jc w:val="both"/>
      </w:pPr>
      <w:r>
        <w:rPr>
          <w:rFonts w:ascii="Times New Roman" w:hAnsi="Times New Roman"/>
          <w:sz w:val="22"/>
        </w:rPr>
        <w:t>Fawcett, T. (2006). An introduction to ROC analysis. Pattern Recognition Letters, 27(8), 861–874.</w:t>
      </w:r>
    </w:p>
    <w:p>
      <w:pPr>
        <w:pStyle w:val="ListBullet"/>
        <w:ind w:left="567" w:hanging="567"/>
        <w:jc w:val="both"/>
      </w:pPr>
      <w:r>
        <w:rPr>
          <w:rFonts w:ascii="Times New Roman" w:hAnsi="Times New Roman"/>
          <w:sz w:val="22"/>
        </w:rPr>
        <w:t>Hochreiter, S., &amp; Schmidhuber, J. (1997). Long short-term memory. Neural Computation, 9(8), 1735–1780.</w:t>
      </w:r>
    </w:p>
    <w:p>
      <w:pPr>
        <w:pStyle w:val="ListBullet"/>
        <w:ind w:left="567" w:hanging="567"/>
        <w:jc w:val="both"/>
      </w:pPr>
      <w:r>
        <w:rPr>
          <w:rFonts w:ascii="Times New Roman" w:hAnsi="Times New Roman"/>
          <w:sz w:val="22"/>
        </w:rPr>
        <w:t>Kingma, D. P., &amp; Ba, J. (2015). Adam: A method for stochastic optimization. Proceedings of ICLR.</w:t>
      </w:r>
    </w:p>
    <w:p>
      <w:pPr>
        <w:pStyle w:val="ListBullet"/>
        <w:ind w:left="567" w:hanging="567"/>
        <w:jc w:val="both"/>
      </w:pPr>
      <w:r>
        <w:rPr>
          <w:rFonts w:ascii="Times New Roman" w:hAnsi="Times New Roman"/>
          <w:sz w:val="22"/>
        </w:rPr>
        <w:t>Mikolov, T., Sutskever, I., Chen, K., Corrado, G. S., &amp; Dean, J. (2013). Distributed representations of words and phrases and their compositionality. Advances in Neural Information Processing Systems, 26.</w:t>
      </w:r>
    </w:p>
    <w:p>
      <w:pPr>
        <w:pStyle w:val="ListBullet"/>
        <w:ind w:left="567" w:hanging="567"/>
        <w:jc w:val="both"/>
      </w:pPr>
      <w:r>
        <w:rPr>
          <w:rFonts w:ascii="Times New Roman" w:hAnsi="Times New Roman"/>
          <w:sz w:val="22"/>
        </w:rPr>
        <w:t>Peraturan Badan Pengawas Obat dan Makanan Republik Indonesia Nomor 31 Tahun 2018 tentang Label Pangan Olahan.</w:t>
      </w:r>
    </w:p>
    <w:p>
      <w:pPr>
        <w:pStyle w:val="ListBullet"/>
        <w:ind w:left="567" w:hanging="567"/>
        <w:jc w:val="both"/>
      </w:pPr>
      <w:r>
        <w:rPr>
          <w:rFonts w:ascii="Times New Roman" w:hAnsi="Times New Roman"/>
          <w:sz w:val="22"/>
        </w:rPr>
        <w:t>Prechelt, L. (1998). Early stopping — but when? Neural Networks: Tricks of the Trade. Springer.</w:t>
      </w:r>
    </w:p>
    <w:p>
      <w:pPr>
        <w:pStyle w:val="ListBullet"/>
        <w:ind w:left="567" w:hanging="567"/>
        <w:jc w:val="both"/>
      </w:pPr>
      <w:r>
        <w:rPr>
          <w:rFonts w:ascii="Times New Roman" w:hAnsi="Times New Roman"/>
          <w:sz w:val="22"/>
        </w:rPr>
        <w:t>Saito, T., &amp; Rehmsmeier, M. (2015). The precision-recall plot is more informative than the ROC plot when evaluating binary classifiers on imbalanced datasets. PLOS ONE, 10(3).</w:t>
      </w:r>
    </w:p>
    <w:p>
      <w:pPr>
        <w:pStyle w:val="ListBullet"/>
        <w:ind w:left="567" w:hanging="567"/>
        <w:jc w:val="both"/>
      </w:pPr>
      <w:r>
        <w:rPr>
          <w:rFonts w:ascii="Times New Roman" w:hAnsi="Times New Roman"/>
          <w:sz w:val="22"/>
        </w:rPr>
        <w:t>Schuster, M., &amp; Paliwal, K. K. (1997). Bidirectional recurrent neural networks. IEEE Transactions on Signal Processing, 45(11), 2673–2681.</w:t>
      </w:r>
    </w:p>
    <w:p>
      <w:pPr>
        <w:pStyle w:val="ListBullet"/>
        <w:ind w:left="567" w:hanging="567"/>
        <w:jc w:val="both"/>
      </w:pPr>
      <w:r>
        <w:rPr>
          <w:rFonts w:ascii="Times New Roman" w:hAnsi="Times New Roman"/>
          <w:sz w:val="22"/>
        </w:rPr>
        <w:t>Sokolova, M., &amp; Lapalme, G. (2009). A systematic analysis of performance measures for classification tasks. Information Processing &amp; Management, 45(4), 427–437.</w:t>
      </w:r>
    </w:p>
    <w:p>
      <w:pPr>
        <w:pStyle w:val="ListBullet"/>
        <w:ind w:left="567" w:hanging="567"/>
        <w:jc w:val="both"/>
      </w:pPr>
      <w:r>
        <w:rPr>
          <w:rFonts w:ascii="Times New Roman" w:hAnsi="Times New Roman"/>
          <w:sz w:val="22"/>
        </w:rPr>
        <w:t>Codex Alimentarius Commission. (1985, rev. terakhir). General Standard for the Labelling of Prepackaged Foods (CXS 1-1985). FAO/WHO.</w:t>
      </w:r>
    </w:p>
    <w:p>
      <w:pPr>
        <w:pStyle w:val="ListBullet"/>
        <w:ind w:left="567" w:hanging="567"/>
        <w:jc w:val="both"/>
      </w:pPr>
      <w:r>
        <w:rPr>
          <w:rFonts w:ascii="Times New Roman" w:hAnsi="Times New Roman"/>
          <w:sz w:val="22"/>
        </w:rPr>
        <w:t>Vaswani, A., et al. (2017). Attention is all you need. Advances in Neural Information Processing Systems, 30.</w:t>
      </w:r>
    </w:p>
    <w:p>
      <w:pPr>
        <w:pStyle w:val="ListBullet"/>
        <w:ind w:left="567" w:hanging="567"/>
        <w:jc w:val="both"/>
      </w:pPr>
      <w:r>
        <w:rPr>
          <w:rFonts w:ascii="Times New Roman" w:hAnsi="Times New Roman"/>
          <w:sz w:val="22"/>
        </w:rPr>
        <w:t>Wilie, B., et al. (2020). IndoNLU: Benchmark and resources for evaluating Indonesian natural language understanding. Proceedings of AACL.</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