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4.6  Arsitektur dan Evaluasi Model IndoBERT</w:t>
      </w:r>
    </w:p>
    <w:p>
      <w:pPr>
        <w:spacing w:after="120" w:line="276" w:lineRule="auto"/>
      </w:pPr>
      <w:r>
        <w:rPr>
          <w:rFonts w:ascii="Times New Roman" w:hAnsi="Times New Roman"/>
          <w:sz w:val="24"/>
        </w:rPr>
        <w:t>Sub-bab ini menguraikan arsitektur model pembanding berbasis Transformer, yaitu IndoBERT yang di-</w:t>
      </w:r>
      <w:r>
        <w:rPr>
          <w:rFonts w:ascii="Times New Roman" w:hAnsi="Times New Roman"/>
          <w:b w:val="0"/>
          <w:i/>
          <w:sz w:val="24"/>
        </w:rPr>
        <w:t>fine-tuning</w:t>
      </w:r>
      <w:r>
        <w:rPr>
          <w:rFonts w:ascii="Times New Roman" w:hAnsi="Times New Roman"/>
          <w:sz w:val="24"/>
        </w:rPr>
        <w:t xml:space="preserve"> untuk klasifikasi biner teks komposisi, beserta seluruh hasil evaluasi pada protokol himpunan beku yang sama dengan model Word2Vec–BiLSTM. Seluruh angka dibaca langsung dari artefak eksperimen </w:t>
      </w:r>
      <w:r>
        <w:rPr>
          <w:rFonts w:ascii="Times New Roman" w:hAnsi="Times New Roman"/>
          <w:b w:val="0"/>
          <w:i/>
          <w:sz w:val="24"/>
        </w:rPr>
        <w:t>model/config.json</w:t>
      </w:r>
      <w:r>
        <w:rPr>
          <w:rFonts w:ascii="Times New Roman" w:hAnsi="Times New Roman"/>
          <w:sz w:val="24"/>
        </w:rPr>
        <w:t xml:space="preserve">, </w:t>
      </w:r>
      <w:r>
        <w:rPr>
          <w:rFonts w:ascii="Times New Roman" w:hAnsi="Times New Roman"/>
          <w:b w:val="0"/>
          <w:i/>
          <w:sz w:val="24"/>
        </w:rPr>
        <w:t>metrics.json</w:t>
      </w:r>
      <w:r>
        <w:rPr>
          <w:rFonts w:ascii="Times New Roman" w:hAnsi="Times New Roman"/>
          <w:sz w:val="24"/>
        </w:rPr>
        <w:t xml:space="preserve">, </w:t>
      </w:r>
      <w:r>
        <w:rPr>
          <w:rFonts w:ascii="Times New Roman" w:hAnsi="Times New Roman"/>
          <w:b w:val="0"/>
          <w:i/>
          <w:sz w:val="24"/>
        </w:rPr>
        <w:t>training_log.json</w:t>
      </w:r>
      <w:r>
        <w:rPr>
          <w:rFonts w:ascii="Times New Roman" w:hAnsi="Times New Roman"/>
          <w:sz w:val="24"/>
        </w:rPr>
        <w:t xml:space="preserve">, </w:t>
      </w:r>
      <w:r>
        <w:rPr>
          <w:rFonts w:ascii="Times New Roman" w:hAnsi="Times New Roman"/>
          <w:b w:val="0"/>
          <w:i/>
          <w:sz w:val="24"/>
        </w:rPr>
        <w:t>probs_*.csv</w:t>
      </w:r>
      <w:r>
        <w:rPr>
          <w:rFonts w:ascii="Times New Roman" w:hAnsi="Times New Roman"/>
          <w:sz w:val="24"/>
        </w:rPr>
        <w:t xml:space="preserve">, dan </w:t>
      </w:r>
      <w:r>
        <w:rPr>
          <w:rFonts w:ascii="Times New Roman" w:hAnsi="Times New Roman"/>
          <w:b w:val="0"/>
          <w:i/>
          <w:sz w:val="24"/>
        </w:rPr>
        <w:t>bootstrap_ci_bert.csv</w:t>
      </w:r>
      <w:r>
        <w:rPr>
          <w:rFonts w:ascii="Times New Roman" w:hAnsi="Times New Roman"/>
          <w:sz w:val="24"/>
        </w:rPr>
        <w:t xml:space="preserve"> sehingga seluruh klaim dapat direproduksi.</w:t>
      </w:r>
    </w:p>
    <w:p>
      <w:pPr>
        <w:pStyle w:val="Heading3"/>
      </w:pPr>
      <w:r>
        <w:t>4.6.1  Arsitektur End-to-End</w:t>
      </w:r>
    </w:p>
    <w:p>
      <w:pPr>
        <w:spacing w:after="120" w:line="276" w:lineRule="auto"/>
      </w:pPr>
      <w:r>
        <w:rPr>
          <w:rFonts w:ascii="Times New Roman" w:hAnsi="Times New Roman"/>
          <w:sz w:val="24"/>
        </w:rPr>
        <w:t>Alur end-to-end model ditunjukkan pada Gambar 4.6. Teks komposisi masuk dalam bentuk mentah — tanpa pembuangan stopword maupun penghapusan tanda baca — karena tokenisasi subword bawaan (</w:t>
      </w:r>
      <w:r>
        <w:rPr>
          <w:rFonts w:ascii="Times New Roman" w:hAnsi="Times New Roman"/>
          <w:b w:val="0"/>
          <w:i/>
          <w:sz w:val="24"/>
        </w:rPr>
        <w:t>WordPiece</w:t>
      </w:r>
      <w:r>
        <w:rPr>
          <w:rFonts w:ascii="Times New Roman" w:hAnsi="Times New Roman"/>
          <w:sz w:val="24"/>
        </w:rPr>
        <w:t xml:space="preserve">) membutuhkan konteks linguistik utuh dan agar perlakuan terhadap ketiga himpunan data identik. Tokenisasi menghasilkan urutan indeks kosakata (vocab 50.000 subword) dengan pemotongan dan padding ke panjang tetap 256 token, disertai </w:t>
      </w:r>
      <w:r>
        <w:rPr>
          <w:rFonts w:ascii="Times New Roman" w:hAnsi="Times New Roman"/>
          <w:b w:val="0"/>
          <w:i/>
          <w:sz w:val="24"/>
        </w:rPr>
        <w:t>attention mask</w:t>
      </w:r>
      <w:r>
        <w:rPr>
          <w:rFonts w:ascii="Times New Roman" w:hAnsi="Times New Roman"/>
          <w:sz w:val="24"/>
        </w:rPr>
        <w:t xml:space="preserve"> yang menandai token nyata agar lapisan attention mengabaikan padding. Setiap indeks dipetakan ke vekor embedding 768 dimensi yang ditambah embedding posisi, lalu diproses oleh 12 blok Transformer encoder. Setiap blok terdiri atas multi-head self-attention dengan 12 kepala, jaringan feed-forward 3072 unit dengan aktivasi GELU, normalisasi lapisan, residual, dan dropout 0.1. Representasi token pada posisi [CLS] kemudian dilewatkan dropout klasifikasi dan kepadatan 768 → 2 yang menghasilkan dua logit, dinormalisasi dengan softmax biner (Persamaan 5) menjadi probabilitas kelas, dan keputusan klasifikasi diambil pada ambang tetap 0,5 terhadap probabilitas kelas tidak aman.</w:t>
      </w:r>
    </w:p>
    <w:p>
      <w:pPr>
        <w:jc w:val="center"/>
      </w:pPr>
      <w:r>
        <w:drawing>
          <wp:inline xmlns:a="http://schemas.openxmlformats.org/drawingml/2006/main" xmlns:pic="http://schemas.openxmlformats.org/drawingml/2006/picture">
            <wp:extent cx="5688000" cy="2107667"/>
            <wp:docPr id="1" name="Picture 1"/>
            <wp:cNvGraphicFramePr>
              <a:graphicFrameLocks noChangeAspect="1"/>
            </wp:cNvGraphicFramePr>
            <a:graphic>
              <a:graphicData uri="http://schemas.openxmlformats.org/drawingml/2006/picture">
                <pic:pic>
                  <pic:nvPicPr>
                    <pic:cNvPr id="0" name="bert_diagram.png"/>
                    <pic:cNvPicPr/>
                  </pic:nvPicPr>
                  <pic:blipFill>
                    <a:blip r:embed="rId9"/>
                    <a:stretch>
                      <a:fillRect/>
                    </a:stretch>
                  </pic:blipFill>
                  <pic:spPr>
                    <a:xfrm>
                      <a:off x="0" y="0"/>
                      <a:ext cx="5688000" cy="2107667"/>
                    </a:xfrm>
                    <a:prstGeom prst="rect"/>
                  </pic:spPr>
                </pic:pic>
              </a:graphicData>
            </a:graphic>
          </wp:inline>
        </w:drawing>
      </w:r>
    </w:p>
    <w:p>
      <w:pPr>
        <w:spacing w:before="80" w:after="160"/>
        <w:jc w:val="center"/>
      </w:pPr>
      <w:r>
        <w:rPr>
          <w:rFonts w:ascii="Times New Roman" w:hAnsi="Times New Roman"/>
          <w:b/>
          <w:sz w:val="20"/>
        </w:rPr>
        <w:t>Gambar 4.6. Arsitektur end-to-end IndoBERT untuk klasifikasi biner teks komposisi.</w:t>
      </w:r>
    </w:p>
    <w:p>
      <w:pPr>
        <w:spacing w:after="120" w:line="276" w:lineRule="auto"/>
      </w:pPr>
      <w:r>
        <w:rPr>
          <w:rFonts w:ascii="Times New Roman" w:hAnsi="Times New Roman"/>
          <w:sz w:val="24"/>
        </w:rPr>
        <w:t>Parameter backbone tercantum pada Tabel 4.6. Arsitektur ini bersifat statis selama eksperimen; seluruh bobot Transformer pra-latih (</w:t>
      </w:r>
      <w:r>
        <w:rPr>
          <w:rFonts w:ascii="Times New Roman" w:hAnsi="Times New Roman"/>
          <w:b w:val="0"/>
          <w:i/>
          <w:sz w:val="24"/>
        </w:rPr>
        <w:t>indobenchmark/indobert-base-p1</w:t>
      </w:r>
      <w:r>
        <w:rPr>
          <w:rFonts w:ascii="Times New Roman" w:hAnsi="Times New Roman"/>
          <w:sz w:val="24"/>
        </w:rPr>
        <w:t>) ikut disetel ulang (</w:t>
      </w:r>
      <w:r>
        <w:rPr>
          <w:rFonts w:ascii="Times New Roman" w:hAnsi="Times New Roman"/>
          <w:b w:val="0"/>
          <w:i/>
          <w:sz w:val="24"/>
        </w:rPr>
        <w:t>full fine-tuning</w:t>
      </w:r>
      <w:r>
        <w:rPr>
          <w:rFonts w:ascii="Times New Roman" w:hAnsi="Times New Roman"/>
          <w:sz w:val="24"/>
        </w:rPr>
        <w:t xml:space="preserve">) — bukan </w:t>
      </w:r>
      <w:r>
        <w:rPr>
          <w:rFonts w:ascii="Times New Roman" w:hAnsi="Times New Roman"/>
          <w:b w:val="0"/>
          <w:i/>
          <w:sz w:val="24"/>
        </w:rPr>
        <w:t>feature extraction</w:t>
      </w:r>
      <w:r>
        <w:rPr>
          <w:rFonts w:ascii="Times New Roman" w:hAnsi="Times New Roman"/>
          <w:sz w:val="24"/>
        </w:rPr>
        <w:t xml:space="preserve"> — karena domain teks komposisi berbeda jauh dengan korpus pra-latih, sehingga penyetelan penuh diperlukan agar representasi internal menyesuaikan pada leksikon bahan pangan.</w:t>
      </w:r>
    </w:p>
    <w:tbl>
      <w:tblPr>
        <w:tblStyle w:val="TableGrid"/>
        <w:tblW w:type="auto" w:w="0"/>
        <w:jc w:val="center"/>
        <w:tblLook w:firstColumn="1" w:firstRow="1" w:lastColumn="0" w:lastRow="0" w:noHBand="0" w:noVBand="1" w:val="04A0"/>
      </w:tblPr>
      <w:tblGrid>
        <w:gridCol w:w="4536"/>
        <w:gridCol w:w="4536"/>
      </w:tblGrid>
      <w:tr>
        <w:tc>
          <w:tcPr>
            <w:tcW w:type="dxa" w:w="3969"/>
            <w:shd w:fill="D9D9D9" w:val="clear"/>
          </w:tcPr>
          <w:p>
            <w:pPr>
              <w:jc w:val="center"/>
            </w:pPr>
            <w:r/>
            <w:r>
              <w:rPr>
                <w:rFonts w:ascii="Times New Roman" w:hAnsi="Times New Roman"/>
                <w:b/>
                <w:sz w:val="19"/>
              </w:rPr>
              <w:t>Komponen</w:t>
            </w:r>
          </w:p>
        </w:tc>
        <w:tc>
          <w:tcPr>
            <w:tcW w:type="dxa" w:w="4876"/>
            <w:shd w:fill="D9D9D9" w:val="clear"/>
          </w:tcPr>
          <w:p>
            <w:pPr>
              <w:jc w:val="center"/>
            </w:pPr>
            <w:r/>
            <w:r>
              <w:rPr>
                <w:rFonts w:ascii="Times New Roman" w:hAnsi="Times New Roman"/>
                <w:b/>
                <w:sz w:val="19"/>
              </w:rPr>
              <w:t>Konfigurasi</w:t>
            </w:r>
          </w:p>
        </w:tc>
      </w:tr>
      <w:tr>
        <w:tc>
          <w:tcPr>
            <w:tcW w:type="dxa" w:w="3969"/>
          </w:tcPr>
          <w:p>
            <w:r/>
            <w:r>
              <w:rPr>
                <w:rFonts w:ascii="Times New Roman" w:hAnsi="Times New Roman"/>
                <w:sz w:val="19"/>
              </w:rPr>
              <w:t>Checkpoint pra-latih</w:t>
            </w:r>
          </w:p>
        </w:tc>
        <w:tc>
          <w:tcPr>
            <w:tcW w:type="dxa" w:w="4876"/>
          </w:tcPr>
          <w:p>
            <w:r/>
            <w:r>
              <w:rPr>
                <w:rFonts w:ascii="Times New Roman" w:hAnsi="Times New Roman"/>
                <w:sz w:val="19"/>
              </w:rPr>
              <w:t>indobenchmark/indobert-base-p1</w:t>
            </w:r>
          </w:p>
        </w:tc>
      </w:tr>
      <w:tr>
        <w:tc>
          <w:tcPr>
            <w:tcW w:type="dxa" w:w="3969"/>
          </w:tcPr>
          <w:p>
            <w:r/>
            <w:r>
              <w:rPr>
                <w:rFonts w:ascii="Times New Roman" w:hAnsi="Times New Roman"/>
                <w:sz w:val="19"/>
              </w:rPr>
              <w:t>Arsitektur</w:t>
            </w:r>
          </w:p>
        </w:tc>
        <w:tc>
          <w:tcPr>
            <w:tcW w:type="dxa" w:w="4876"/>
          </w:tcPr>
          <w:p>
            <w:r/>
            <w:r>
              <w:rPr>
                <w:rFonts w:ascii="Times New Roman" w:hAnsi="Times New Roman"/>
                <w:sz w:val="19"/>
              </w:rPr>
              <w:t>BertForSequenceClassification</w:t>
            </w:r>
          </w:p>
        </w:tc>
      </w:tr>
      <w:tr>
        <w:tc>
          <w:tcPr>
            <w:tcW w:type="dxa" w:w="3969"/>
          </w:tcPr>
          <w:p>
            <w:r/>
            <w:r>
              <w:rPr>
                <w:rFonts w:ascii="Times New Roman" w:hAnsi="Times New Roman"/>
                <w:sz w:val="19"/>
              </w:rPr>
              <w:t>Jumlah lapisan encoder</w:t>
            </w:r>
          </w:p>
        </w:tc>
        <w:tc>
          <w:tcPr>
            <w:tcW w:type="dxa" w:w="4876"/>
          </w:tcPr>
          <w:p>
            <w:r/>
            <w:r>
              <w:rPr>
                <w:rFonts w:ascii="Times New Roman" w:hAnsi="Times New Roman"/>
                <w:sz w:val="19"/>
              </w:rPr>
              <w:t>12</w:t>
            </w:r>
          </w:p>
        </w:tc>
      </w:tr>
      <w:tr>
        <w:tc>
          <w:tcPr>
            <w:tcW w:type="dxa" w:w="3969"/>
          </w:tcPr>
          <w:p>
            <w:r/>
            <w:r>
              <w:rPr>
                <w:rFonts w:ascii="Times New Roman" w:hAnsi="Times New Roman"/>
                <w:sz w:val="19"/>
              </w:rPr>
              <w:t>Dimensi tersembunyi (hidden)</w:t>
            </w:r>
          </w:p>
        </w:tc>
        <w:tc>
          <w:tcPr>
            <w:tcW w:type="dxa" w:w="4876"/>
          </w:tcPr>
          <w:p>
            <w:r/>
            <w:r>
              <w:rPr>
                <w:rFonts w:ascii="Times New Roman" w:hAnsi="Times New Roman"/>
                <w:sz w:val="19"/>
              </w:rPr>
              <w:t>768</w:t>
            </w:r>
          </w:p>
        </w:tc>
      </w:tr>
      <w:tr>
        <w:tc>
          <w:tcPr>
            <w:tcW w:type="dxa" w:w="3969"/>
          </w:tcPr>
          <w:p>
            <w:r/>
            <w:r>
              <w:rPr>
                <w:rFonts w:ascii="Times New Roman" w:hAnsi="Times New Roman"/>
                <w:sz w:val="19"/>
              </w:rPr>
              <w:t>Kepala attention per lapisan</w:t>
            </w:r>
          </w:p>
        </w:tc>
        <w:tc>
          <w:tcPr>
            <w:tcW w:type="dxa" w:w="4876"/>
          </w:tcPr>
          <w:p>
            <w:r/>
            <w:r>
              <w:rPr>
                <w:rFonts w:ascii="Times New Roman" w:hAnsi="Times New Roman"/>
                <w:sz w:val="19"/>
              </w:rPr>
              <w:t>12</w:t>
            </w:r>
          </w:p>
        </w:tc>
      </w:tr>
      <w:tr>
        <w:tc>
          <w:tcPr>
            <w:tcW w:type="dxa" w:w="3969"/>
          </w:tcPr>
          <w:p>
            <w:r/>
            <w:r>
              <w:rPr>
                <w:rFonts w:ascii="Times New Roman" w:hAnsi="Times New Roman"/>
                <w:sz w:val="19"/>
              </w:rPr>
              <w:t>Unit jaringan feed-forward</w:t>
            </w:r>
          </w:p>
        </w:tc>
        <w:tc>
          <w:tcPr>
            <w:tcW w:type="dxa" w:w="4876"/>
          </w:tcPr>
          <w:p>
            <w:r/>
            <w:r>
              <w:rPr>
                <w:rFonts w:ascii="Times New Roman" w:hAnsi="Times New Roman"/>
                <w:sz w:val="19"/>
              </w:rPr>
              <w:t>3072</w:t>
            </w:r>
          </w:p>
        </w:tc>
      </w:tr>
      <w:tr>
        <w:tc>
          <w:tcPr>
            <w:tcW w:type="dxa" w:w="3969"/>
          </w:tcPr>
          <w:p>
            <w:r/>
            <w:r>
              <w:rPr>
                <w:rFonts w:ascii="Times New Roman" w:hAnsi="Times New Roman"/>
                <w:sz w:val="19"/>
              </w:rPr>
              <w:t>Kosakata subword</w:t>
            </w:r>
          </w:p>
        </w:tc>
        <w:tc>
          <w:tcPr>
            <w:tcW w:type="dxa" w:w="4876"/>
          </w:tcPr>
          <w:p>
            <w:r/>
            <w:r>
              <w:rPr>
                <w:rFonts w:ascii="Times New Roman" w:hAnsi="Times New Roman"/>
                <w:sz w:val="19"/>
              </w:rPr>
              <w:t>50.000</w:t>
            </w:r>
          </w:p>
        </w:tc>
      </w:tr>
      <w:tr>
        <w:tc>
          <w:tcPr>
            <w:tcW w:type="dxa" w:w="3969"/>
          </w:tcPr>
          <w:p>
            <w:r/>
            <w:r>
              <w:rPr>
                <w:rFonts w:ascii="Times New Roman" w:hAnsi="Times New Roman"/>
                <w:sz w:val="19"/>
              </w:rPr>
              <w:t>Posisi maksimum (absolut)</w:t>
            </w:r>
          </w:p>
        </w:tc>
        <w:tc>
          <w:tcPr>
            <w:tcW w:type="dxa" w:w="4876"/>
          </w:tcPr>
          <w:p>
            <w:r/>
            <w:r>
              <w:rPr>
                <w:rFonts w:ascii="Times New Roman" w:hAnsi="Times New Roman"/>
                <w:sz w:val="19"/>
              </w:rPr>
              <w:t>512</w:t>
            </w:r>
          </w:p>
        </w:tc>
      </w:tr>
      <w:tr>
        <w:tc>
          <w:tcPr>
            <w:tcW w:type="dxa" w:w="3969"/>
          </w:tcPr>
          <w:p>
            <w:r/>
            <w:r>
              <w:rPr>
                <w:rFonts w:ascii="Times New Roman" w:hAnsi="Times New Roman"/>
                <w:sz w:val="19"/>
              </w:rPr>
              <w:t>Panjang input efektif (max_length)</w:t>
            </w:r>
          </w:p>
        </w:tc>
        <w:tc>
          <w:tcPr>
            <w:tcW w:type="dxa" w:w="4876"/>
          </w:tcPr>
          <w:p>
            <w:r/>
            <w:r>
              <w:rPr>
                <w:rFonts w:ascii="Times New Roman" w:hAnsi="Times New Roman"/>
                <w:sz w:val="19"/>
              </w:rPr>
              <w:t>256</w:t>
            </w:r>
          </w:p>
        </w:tc>
      </w:tr>
      <w:tr>
        <w:tc>
          <w:tcPr>
            <w:tcW w:type="dxa" w:w="3969"/>
          </w:tcPr>
          <w:p>
            <w:r/>
            <w:r>
              <w:rPr>
                <w:rFonts w:ascii="Times New Roman" w:hAnsi="Times New Roman"/>
                <w:sz w:val="19"/>
              </w:rPr>
              <w:t>Dropout tersembunyi / attention</w:t>
            </w:r>
          </w:p>
        </w:tc>
        <w:tc>
          <w:tcPr>
            <w:tcW w:type="dxa" w:w="4876"/>
          </w:tcPr>
          <w:p>
            <w:r/>
            <w:r>
              <w:rPr>
                <w:rFonts w:ascii="Times New Roman" w:hAnsi="Times New Roman"/>
                <w:sz w:val="19"/>
              </w:rPr>
              <w:t>0.1 / 0.1</w:t>
            </w:r>
          </w:p>
        </w:tc>
      </w:tr>
      <w:tr>
        <w:tc>
          <w:tcPr>
            <w:tcW w:type="dxa" w:w="3969"/>
          </w:tcPr>
          <w:p>
            <w:r/>
            <w:r>
              <w:rPr>
                <w:rFonts w:ascii="Times New Roman" w:hAnsi="Times New Roman"/>
                <w:sz w:val="19"/>
              </w:rPr>
              <w:t>Kepala klasifikasi</w:t>
            </w:r>
          </w:p>
        </w:tc>
        <w:tc>
          <w:tcPr>
            <w:tcW w:type="dxa" w:w="4876"/>
          </w:tcPr>
          <w:p>
            <w:r/>
            <w:r>
              <w:rPr>
                <w:rFonts w:ascii="Times New Roman" w:hAnsi="Times New Roman"/>
                <w:sz w:val="19"/>
              </w:rPr>
              <w:t>Dense 768 → 2 (logit)</w:t>
            </w:r>
          </w:p>
        </w:tc>
      </w:tr>
      <w:tr>
        <w:tc>
          <w:tcPr>
            <w:tcW w:type="dxa" w:w="3969"/>
          </w:tcPr>
          <w:p>
            <w:r/>
            <w:r>
              <w:rPr>
                <w:rFonts w:ascii="Times New Roman" w:hAnsi="Times New Roman"/>
                <w:sz w:val="19"/>
              </w:rPr>
              <w:t>Peta kelas</w:t>
            </w:r>
          </w:p>
        </w:tc>
        <w:tc>
          <w:tcPr>
            <w:tcW w:type="dxa" w:w="4876"/>
          </w:tcPr>
          <w:p>
            <w:r/>
            <w:r>
              <w:rPr>
                <w:rFonts w:ascii="Times New Roman" w:hAnsi="Times New Roman"/>
                <w:sz w:val="19"/>
              </w:rPr>
              <w:t>0 = safe, 1 = unsafe</w:t>
            </w:r>
          </w:p>
        </w:tc>
      </w:tr>
    </w:tbl>
    <w:p>
      <w:pPr>
        <w:spacing w:after="40"/>
      </w:pPr>
    </w:p>
    <w:p>
      <w:pPr>
        <w:spacing w:before="80" w:after="160"/>
        <w:jc w:val="center"/>
      </w:pPr>
      <w:r>
        <w:rPr>
          <w:rFonts w:ascii="Times New Roman" w:hAnsi="Times New Roman"/>
          <w:b/>
          <w:sz w:val="20"/>
        </w:rPr>
        <w:t>Tabel 4.6. Konfigurasi parameter backbone IndoBERT (sumber: model/config.json).</w:t>
      </w:r>
    </w:p>
    <w:p>
      <w:pPr>
        <w:spacing w:after="120" w:line="276" w:lineRule="auto"/>
      </w:pPr>
      <w:r>
        <w:rPr>
          <w:rFonts w:ascii="Times New Roman" w:hAnsi="Times New Roman"/>
          <w:sz w:val="24"/>
        </w:rPr>
        <w:t>Representasi kelas dihasilkan melalui softmax biner berikut.</w:t>
      </w:r>
    </w:p>
    <w:p>
      <w:pPr>
        <w:jc w:val="center"/>
      </w:pPr>
      <w:r>
        <w:drawing>
          <wp:inline xmlns:a="http://schemas.openxmlformats.org/drawingml/2006/main" xmlns:pic="http://schemas.openxmlformats.org/drawingml/2006/picture">
            <wp:extent cx="4860000" cy="1403164"/>
            <wp:docPr id="2" name="Picture 2"/>
            <wp:cNvGraphicFramePr>
              <a:graphicFrameLocks noChangeAspect="1"/>
            </wp:cNvGraphicFramePr>
            <a:graphic>
              <a:graphicData uri="http://schemas.openxmlformats.org/drawingml/2006/picture">
                <pic:pic>
                  <pic:nvPicPr>
                    <pic:cNvPr id="0" name="bert_eq_softmax.png"/>
                    <pic:cNvPicPr/>
                  </pic:nvPicPr>
                  <pic:blipFill>
                    <a:blip r:embed="rId10"/>
                    <a:stretch>
                      <a:fillRect/>
                    </a:stretch>
                  </pic:blipFill>
                  <pic:spPr>
                    <a:xfrm>
                      <a:off x="0" y="0"/>
                      <a:ext cx="4860000" cy="1403164"/>
                    </a:xfrm>
                    <a:prstGeom prst="rect"/>
                  </pic:spPr>
                </pic:pic>
              </a:graphicData>
            </a:graphic>
          </wp:inline>
        </w:drawing>
      </w:r>
    </w:p>
    <w:p>
      <w:pPr>
        <w:jc w:val="right"/>
      </w:pPr>
      <w:r>
        <w:rPr>
          <w:rFonts w:ascii="Times New Roman" w:hAnsi="Times New Roman"/>
          <w:sz w:val="24"/>
        </w:rPr>
        <w:t>(5)</w:t>
      </w:r>
    </w:p>
    <w:p>
      <w:pPr>
        <w:spacing w:after="120" w:line="276" w:lineRule="auto"/>
      </w:pPr>
      <w:r>
        <w:rPr>
          <w:rFonts w:ascii="Times New Roman" w:hAnsi="Times New Roman"/>
          <w:sz w:val="24"/>
        </w:rPr>
        <w:t xml:space="preserve">dengan </w:t>
      </w:r>
      <w:r>
        <w:rPr>
          <w:rFonts w:ascii="Times New Roman" w:hAnsi="Times New Roman"/>
          <w:b w:val="0"/>
          <w:i/>
          <w:sz w:val="24"/>
        </w:rPr>
        <w:t>z</w:t>
      </w:r>
      <w:r>
        <w:rPr>
          <w:rFonts w:ascii="Times New Roman" w:hAnsi="Times New Roman"/>
          <w:sz w:val="24"/>
        </w:rPr>
        <w:t xml:space="preserve"> sebagai pasangan logit (</w:t>
      </w:r>
      <w:r>
        <w:rPr>
          <w:rFonts w:ascii="Times New Roman" w:hAnsi="Times New Roman"/>
          <w:b w:val="0"/>
          <w:i/>
          <w:sz w:val="24"/>
        </w:rPr>
        <w:t>z</w:t>
      </w:r>
      <w:r>
        <w:rPr>
          <w:rFonts w:ascii="Times New Roman" w:hAnsi="Times New Roman"/>
          <w:sz w:val="24"/>
        </w:rPr>
        <w:t xml:space="preserve">₀, </w:t>
      </w:r>
      <w:r>
        <w:rPr>
          <w:rFonts w:ascii="Times New Roman" w:hAnsi="Times New Roman"/>
          <w:b w:val="0"/>
          <w:i/>
          <w:sz w:val="24"/>
        </w:rPr>
        <w:t>z</w:t>
      </w:r>
      <w:r>
        <w:rPr>
          <w:rFonts w:ascii="Times New Roman" w:hAnsi="Times New Roman"/>
          <w:sz w:val="24"/>
        </w:rPr>
        <w:t xml:space="preserve">₁) dan </w:t>
      </w:r>
      <w:r>
        <w:rPr>
          <w:rFonts w:ascii="Times New Roman" w:hAnsi="Times New Roman"/>
          <w:b w:val="0"/>
          <w:i/>
          <w:sz w:val="24"/>
        </w:rPr>
        <w:t>p</w:t>
      </w:r>
      <w:r>
        <w:rPr>
          <w:rFonts w:ascii="Times New Roman" w:hAnsi="Times New Roman"/>
          <w:sz w:val="24"/>
        </w:rPr>
        <w:t xml:space="preserve">(y = 1 ∣ </w:t>
      </w:r>
      <w:r>
        <w:rPr>
          <w:rFonts w:ascii="Times New Roman" w:hAnsi="Times New Roman"/>
          <w:b w:val="0"/>
          <w:i/>
          <w:sz w:val="24"/>
        </w:rPr>
        <w:t>z</w:t>
      </w:r>
      <w:r>
        <w:rPr>
          <w:rFonts w:ascii="Times New Roman" w:hAnsi="Times New Roman"/>
          <w:sz w:val="24"/>
        </w:rPr>
        <w:t>) adalah probabilitas kelas tidak aman yang dibandingkan dengan ambang 0,5. Fungsi rugi pelatihan adalah entropi silang biner (Persamaan 6).</w:t>
      </w:r>
    </w:p>
    <w:p>
      <w:pPr>
        <w:jc w:val="center"/>
      </w:pPr>
      <w:r>
        <w:drawing>
          <wp:inline xmlns:a="http://schemas.openxmlformats.org/drawingml/2006/main" xmlns:pic="http://schemas.openxmlformats.org/drawingml/2006/picture">
            <wp:extent cx="4860000" cy="1500094"/>
            <wp:docPr id="3" name="Picture 3"/>
            <wp:cNvGraphicFramePr>
              <a:graphicFrameLocks noChangeAspect="1"/>
            </wp:cNvGraphicFramePr>
            <a:graphic>
              <a:graphicData uri="http://schemas.openxmlformats.org/drawingml/2006/picture">
                <pic:pic>
                  <pic:nvPicPr>
                    <pic:cNvPr id="0" name="bert_eq_ce.png"/>
                    <pic:cNvPicPr/>
                  </pic:nvPicPr>
                  <pic:blipFill>
                    <a:blip r:embed="rId11"/>
                    <a:stretch>
                      <a:fillRect/>
                    </a:stretch>
                  </pic:blipFill>
                  <pic:spPr>
                    <a:xfrm>
                      <a:off x="0" y="0"/>
                      <a:ext cx="4860000" cy="1500094"/>
                    </a:xfrm>
                    <a:prstGeom prst="rect"/>
                  </pic:spPr>
                </pic:pic>
              </a:graphicData>
            </a:graphic>
          </wp:inline>
        </w:drawing>
      </w:r>
    </w:p>
    <w:p>
      <w:pPr>
        <w:jc w:val="right"/>
      </w:pPr>
      <w:r>
        <w:rPr>
          <w:rFonts w:ascii="Times New Roman" w:hAnsi="Times New Roman"/>
          <w:sz w:val="24"/>
        </w:rPr>
        <w:t>(6)</w:t>
      </w:r>
    </w:p>
    <w:p>
      <w:pPr>
        <w:pStyle w:val="Heading3"/>
      </w:pPr>
      <w:r>
        <w:t>4.6.2  Protokol Fine-Tuning dan Partisi Data</w:t>
      </w:r>
    </w:p>
    <w:p>
      <w:pPr>
        <w:spacing w:after="120" w:line="276" w:lineRule="auto"/>
      </w:pPr>
      <w:r>
        <w:rPr>
          <w:rFonts w:ascii="Times New Roman" w:hAnsi="Times New Roman"/>
          <w:sz w:val="24"/>
        </w:rPr>
        <w:t>Data pelatihan, partisi, dan kriteria berhenti mengikuti protokol anti-leakage pada Sub-bab 3.6–3.10: model hanya melihat himpunan latih final (teks riil ditambah teks sintetik), penyetelan model (</w:t>
      </w:r>
      <w:r>
        <w:rPr>
          <w:rFonts w:ascii="Times New Roman" w:hAnsi="Times New Roman"/>
          <w:b w:val="0"/>
          <w:i/>
          <w:sz w:val="24"/>
        </w:rPr>
        <w:t>early stopping</w:t>
      </w:r>
      <w:r>
        <w:rPr>
          <w:rFonts w:ascii="Times New Roman" w:hAnsi="Times New Roman"/>
          <w:sz w:val="24"/>
        </w:rPr>
        <w:t xml:space="preserve">, </w:t>
      </w:r>
      <w:r>
        <w:rPr>
          <w:rFonts w:ascii="Times New Roman" w:hAnsi="Times New Roman"/>
          <w:b w:val="0"/>
          <w:i/>
          <w:sz w:val="24"/>
        </w:rPr>
        <w:t>model selection</w:t>
      </w:r>
      <w:r>
        <w:rPr>
          <w:rFonts w:ascii="Times New Roman" w:hAnsi="Times New Roman"/>
          <w:sz w:val="24"/>
        </w:rPr>
        <w:t>) hanya memanfaatkan himpunan validasi, dan himpunan beku hanya diprediksi satu kali di akhir. Hiperparameter lengkap dirangkum pada Tabel 4.7.</w:t>
      </w:r>
    </w:p>
    <w:tbl>
      <w:tblPr>
        <w:tblStyle w:val="TableGrid"/>
        <w:tblW w:type="auto" w:w="0"/>
        <w:jc w:val="center"/>
        <w:tblLook w:firstColumn="1" w:firstRow="1" w:lastColumn="0" w:lastRow="0" w:noHBand="0" w:noVBand="1" w:val="04A0"/>
      </w:tblPr>
      <w:tblGrid>
        <w:gridCol w:w="4536"/>
        <w:gridCol w:w="4536"/>
      </w:tblGrid>
      <w:tr>
        <w:tc>
          <w:tcPr>
            <w:tcW w:type="dxa" w:w="3628"/>
            <w:shd w:fill="D9D9D9" w:val="clear"/>
          </w:tcPr>
          <w:p>
            <w:pPr>
              <w:jc w:val="center"/>
            </w:pPr>
            <w:r/>
            <w:r>
              <w:rPr>
                <w:rFonts w:ascii="Times New Roman" w:hAnsi="Times New Roman"/>
                <w:b/>
                <w:sz w:val="19"/>
              </w:rPr>
              <w:t>Hiperparameter / aspek</w:t>
            </w:r>
          </w:p>
        </w:tc>
        <w:tc>
          <w:tcPr>
            <w:tcW w:type="dxa" w:w="5216"/>
            <w:shd w:fill="D9D9D9" w:val="clear"/>
          </w:tcPr>
          <w:p>
            <w:pPr>
              <w:jc w:val="center"/>
            </w:pPr>
            <w:r/>
            <w:r>
              <w:rPr>
                <w:rFonts w:ascii="Times New Roman" w:hAnsi="Times New Roman"/>
                <w:b/>
                <w:sz w:val="19"/>
              </w:rPr>
              <w:t>Nilai</w:t>
            </w:r>
          </w:p>
        </w:tc>
      </w:tr>
      <w:tr>
        <w:tc>
          <w:tcPr>
            <w:tcW w:type="dxa" w:w="3628"/>
          </w:tcPr>
          <w:p>
            <w:r/>
            <w:r>
              <w:rPr>
                <w:rFonts w:ascii="Times New Roman" w:hAnsi="Times New Roman"/>
                <w:sz w:val="19"/>
              </w:rPr>
              <w:t>Checkpoint</w:t>
            </w:r>
          </w:p>
        </w:tc>
        <w:tc>
          <w:tcPr>
            <w:tcW w:type="dxa" w:w="5216"/>
          </w:tcPr>
          <w:p>
            <w:r/>
            <w:r>
              <w:rPr>
                <w:rFonts w:ascii="Times New Roman" w:hAnsi="Times New Roman"/>
                <w:sz w:val="19"/>
              </w:rPr>
              <w:t>indobenchmark/indobert-base-p1</w:t>
            </w:r>
          </w:p>
        </w:tc>
      </w:tr>
      <w:tr>
        <w:tc>
          <w:tcPr>
            <w:tcW w:type="dxa" w:w="3628"/>
          </w:tcPr>
          <w:p>
            <w:r/>
            <w:r>
              <w:rPr>
                <w:rFonts w:ascii="Times New Roman" w:hAnsi="Times New Roman"/>
                <w:sz w:val="19"/>
              </w:rPr>
              <w:t>Data latih</w:t>
            </w:r>
          </w:p>
        </w:tc>
        <w:tc>
          <w:tcPr>
            <w:tcW w:type="dxa" w:w="5216"/>
          </w:tcPr>
          <w:p>
            <w:r/>
            <w:r>
              <w:rPr>
                <w:rFonts w:ascii="Times New Roman" w:hAnsi="Times New Roman"/>
                <w:sz w:val="19"/>
              </w:rPr>
              <w:t>train_combined.csv (1.399 teks: 399 riil + 1.000 sintetik)</w:t>
            </w:r>
          </w:p>
        </w:tc>
      </w:tr>
      <w:tr>
        <w:tc>
          <w:tcPr>
            <w:tcW w:type="dxa" w:w="3628"/>
          </w:tcPr>
          <w:p>
            <w:r/>
            <w:r>
              <w:rPr>
                <w:rFonts w:ascii="Times New Roman" w:hAnsi="Times New Roman"/>
                <w:sz w:val="19"/>
              </w:rPr>
              <w:t>Himpunan validasi / beku</w:t>
            </w:r>
          </w:p>
        </w:tc>
        <w:tc>
          <w:tcPr>
            <w:tcW w:type="dxa" w:w="5216"/>
          </w:tcPr>
          <w:p>
            <w:r/>
            <w:r>
              <w:rPr>
                <w:rFonts w:ascii="Times New Roman" w:hAnsi="Times New Roman"/>
                <w:sz w:val="19"/>
              </w:rPr>
              <w:t>50 riil (25 safe / 25 unsafe) / 50 riil (25/25)</w:t>
            </w:r>
          </w:p>
        </w:tc>
      </w:tr>
      <w:tr>
        <w:tc>
          <w:tcPr>
            <w:tcW w:type="dxa" w:w="3628"/>
          </w:tcPr>
          <w:p>
            <w:r/>
            <w:r>
              <w:rPr>
                <w:rFonts w:ascii="Times New Roman" w:hAnsi="Times New Roman"/>
                <w:sz w:val="19"/>
              </w:rPr>
              <w:t>Optimizer</w:t>
            </w:r>
          </w:p>
        </w:tc>
        <w:tc>
          <w:tcPr>
            <w:tcW w:type="dxa" w:w="5216"/>
          </w:tcPr>
          <w:p>
            <w:r/>
            <w:r>
              <w:rPr>
                <w:rFonts w:ascii="Times New Roman" w:hAnsi="Times New Roman"/>
                <w:sz w:val="19"/>
              </w:rPr>
              <w:t>AdamW (implementasi HF Trainer)</w:t>
            </w:r>
          </w:p>
        </w:tc>
      </w:tr>
      <w:tr>
        <w:tc>
          <w:tcPr>
            <w:tcW w:type="dxa" w:w="3628"/>
          </w:tcPr>
          <w:p>
            <w:r/>
            <w:r>
              <w:rPr>
                <w:rFonts w:ascii="Times New Roman" w:hAnsi="Times New Roman"/>
                <w:sz w:val="19"/>
              </w:rPr>
              <w:t>Laju belajar</w:t>
            </w:r>
          </w:p>
        </w:tc>
        <w:tc>
          <w:tcPr>
            <w:tcW w:type="dxa" w:w="5216"/>
          </w:tcPr>
          <w:p>
            <w:r/>
            <w:r>
              <w:rPr>
                <w:rFonts w:ascii="Times New Roman" w:hAnsi="Times New Roman"/>
                <w:sz w:val="19"/>
              </w:rPr>
              <w:t>2×10⁻⁵</w:t>
            </w:r>
          </w:p>
        </w:tc>
      </w:tr>
      <w:tr>
        <w:tc>
          <w:tcPr>
            <w:tcW w:type="dxa" w:w="3628"/>
          </w:tcPr>
          <w:p>
            <w:r/>
            <w:r>
              <w:rPr>
                <w:rFonts w:ascii="Times New Roman" w:hAnsi="Times New Roman"/>
                <w:sz w:val="19"/>
              </w:rPr>
              <w:t>Weight decay</w:t>
            </w:r>
          </w:p>
        </w:tc>
        <w:tc>
          <w:tcPr>
            <w:tcW w:type="dxa" w:w="5216"/>
          </w:tcPr>
          <w:p>
            <w:r/>
            <w:r>
              <w:rPr>
                <w:rFonts w:ascii="Times New Roman" w:hAnsi="Times New Roman"/>
                <w:sz w:val="19"/>
              </w:rPr>
              <w:t>0,01</w:t>
            </w:r>
          </w:p>
        </w:tc>
      </w:tr>
      <w:tr>
        <w:tc>
          <w:tcPr>
            <w:tcW w:type="dxa" w:w="3628"/>
          </w:tcPr>
          <w:p>
            <w:r/>
            <w:r>
              <w:rPr>
                <w:rFonts w:ascii="Times New Roman" w:hAnsi="Times New Roman"/>
                <w:sz w:val="19"/>
              </w:rPr>
              <w:t>Rasio warm-up</w:t>
            </w:r>
          </w:p>
        </w:tc>
        <w:tc>
          <w:tcPr>
            <w:tcW w:type="dxa" w:w="5216"/>
          </w:tcPr>
          <w:p>
            <w:r/>
            <w:r>
              <w:rPr>
                <w:rFonts w:ascii="Times New Roman" w:hAnsi="Times New Roman"/>
                <w:sz w:val="19"/>
              </w:rPr>
              <w:t>0,10 dari total langkah</w:t>
            </w:r>
          </w:p>
        </w:tc>
      </w:tr>
      <w:tr>
        <w:tc>
          <w:tcPr>
            <w:tcW w:type="dxa" w:w="3628"/>
          </w:tcPr>
          <w:p>
            <w:r/>
            <w:r>
              <w:rPr>
                <w:rFonts w:ascii="Times New Roman" w:hAnsi="Times New Roman"/>
                <w:sz w:val="19"/>
              </w:rPr>
              <w:t>Batch (latih / evaluasi)</w:t>
            </w:r>
          </w:p>
        </w:tc>
        <w:tc>
          <w:tcPr>
            <w:tcW w:type="dxa" w:w="5216"/>
          </w:tcPr>
          <w:p>
            <w:r/>
            <w:r>
              <w:rPr>
                <w:rFonts w:ascii="Times New Roman" w:hAnsi="Times New Roman"/>
                <w:sz w:val="19"/>
              </w:rPr>
              <w:t>16 / 32</w:t>
            </w:r>
          </w:p>
        </w:tc>
      </w:tr>
      <w:tr>
        <w:tc>
          <w:tcPr>
            <w:tcW w:type="dxa" w:w="3628"/>
          </w:tcPr>
          <w:p>
            <w:r/>
            <w:r>
              <w:rPr>
                <w:rFonts w:ascii="Times New Roman" w:hAnsi="Times New Roman"/>
                <w:sz w:val="19"/>
              </w:rPr>
              <w:t>Maksimum epoch</w:t>
            </w:r>
          </w:p>
        </w:tc>
        <w:tc>
          <w:tcPr>
            <w:tcW w:type="dxa" w:w="5216"/>
          </w:tcPr>
          <w:p>
            <w:r/>
            <w:r>
              <w:rPr>
                <w:rFonts w:ascii="Times New Roman" w:hAnsi="Times New Roman"/>
                <w:sz w:val="19"/>
              </w:rPr>
              <w:t>4</w:t>
            </w:r>
          </w:p>
        </w:tc>
      </w:tr>
      <w:tr>
        <w:tc>
          <w:tcPr>
            <w:tcW w:type="dxa" w:w="3628"/>
          </w:tcPr>
          <w:p>
            <w:r/>
            <w:r>
              <w:rPr>
                <w:rFonts w:ascii="Times New Roman" w:hAnsi="Times New Roman"/>
                <w:sz w:val="19"/>
              </w:rPr>
              <w:t>Penjepit gradien</w:t>
            </w:r>
          </w:p>
        </w:tc>
        <w:tc>
          <w:tcPr>
            <w:tcW w:type="dxa" w:w="5216"/>
          </w:tcPr>
          <w:p>
            <w:r/>
            <w:r>
              <w:rPr>
                <w:rFonts w:ascii="Times New Roman" w:hAnsi="Times New Roman"/>
                <w:sz w:val="19"/>
              </w:rPr>
              <w:t>norm maksimum 1,0</w:t>
            </w:r>
          </w:p>
        </w:tc>
      </w:tr>
      <w:tr>
        <w:tc>
          <w:tcPr>
            <w:tcW w:type="dxa" w:w="3628"/>
          </w:tcPr>
          <w:p>
            <w:r/>
            <w:r>
              <w:rPr>
                <w:rFonts w:ascii="Times New Roman" w:hAnsi="Times New Roman"/>
                <w:sz w:val="19"/>
              </w:rPr>
              <w:t>Kriteria seleksi</w:t>
            </w:r>
          </w:p>
        </w:tc>
        <w:tc>
          <w:tcPr>
            <w:tcW w:type="dxa" w:w="5216"/>
          </w:tcPr>
          <w:p>
            <w:r/>
            <w:r>
              <w:rPr>
                <w:rFonts w:ascii="Times New Roman" w:hAnsi="Times New Roman"/>
                <w:sz w:val="19"/>
              </w:rPr>
              <w:t>eval_loss minimum; load_best_model_at_end = True</w:t>
            </w:r>
          </w:p>
        </w:tc>
      </w:tr>
      <w:tr>
        <w:tc>
          <w:tcPr>
            <w:tcW w:type="dxa" w:w="3628"/>
          </w:tcPr>
          <w:p>
            <w:r/>
            <w:r>
              <w:rPr>
                <w:rFonts w:ascii="Times New Roman" w:hAnsi="Times New Roman"/>
                <w:sz w:val="19"/>
              </w:rPr>
              <w:t>Early stopping</w:t>
            </w:r>
          </w:p>
        </w:tc>
        <w:tc>
          <w:tcPr>
            <w:tcW w:type="dxa" w:w="5216"/>
          </w:tcPr>
          <w:p>
            <w:r/>
            <w:r>
              <w:rPr>
                <w:rFonts w:ascii="Times New Roman" w:hAnsi="Times New Roman"/>
                <w:sz w:val="19"/>
              </w:rPr>
              <w:t>patience 2 atas eval_loss</w:t>
            </w:r>
          </w:p>
        </w:tc>
      </w:tr>
      <w:tr>
        <w:tc>
          <w:tcPr>
            <w:tcW w:type="dxa" w:w="3628"/>
          </w:tcPr>
          <w:p>
            <w:r/>
            <w:r>
              <w:rPr>
                <w:rFonts w:ascii="Times New Roman" w:hAnsi="Times New Roman"/>
                <w:sz w:val="19"/>
              </w:rPr>
              <w:t>Benih</w:t>
            </w:r>
          </w:p>
        </w:tc>
        <w:tc>
          <w:tcPr>
            <w:tcW w:type="dxa" w:w="5216"/>
          </w:tcPr>
          <w:p>
            <w:r/>
            <w:r>
              <w:rPr>
                <w:rFonts w:ascii="Times New Roman" w:hAnsi="Times New Roman"/>
                <w:sz w:val="19"/>
              </w:rPr>
              <w:t>42</w:t>
            </w:r>
          </w:p>
        </w:tc>
      </w:tr>
      <w:tr>
        <w:tc>
          <w:tcPr>
            <w:tcW w:type="dxa" w:w="3628"/>
          </w:tcPr>
          <w:p>
            <w:r/>
            <w:r>
              <w:rPr>
                <w:rFonts w:ascii="Times New Roman" w:hAnsi="Times New Roman"/>
                <w:sz w:val="19"/>
              </w:rPr>
              <w:t>Waktu pelatihan total</w:t>
            </w:r>
          </w:p>
        </w:tc>
        <w:tc>
          <w:tcPr>
            <w:tcW w:type="dxa" w:w="5216"/>
          </w:tcPr>
          <w:p>
            <w:r/>
            <w:r>
              <w:rPr>
                <w:rFonts w:ascii="Times New Roman" w:hAnsi="Times New Roman"/>
                <w:sz w:val="19"/>
              </w:rPr>
              <w:t>171,2 detik (1,03 langkah/detik, 176 langkah)</w:t>
            </w:r>
          </w:p>
        </w:tc>
      </w:tr>
    </w:tbl>
    <w:p>
      <w:pPr>
        <w:spacing w:after="40"/>
      </w:pPr>
    </w:p>
    <w:p>
      <w:pPr>
        <w:spacing w:before="80" w:after="160"/>
        <w:jc w:val="center"/>
      </w:pPr>
      <w:r>
        <w:rPr>
          <w:rFonts w:ascii="Times New Roman" w:hAnsi="Times New Roman"/>
          <w:b/>
          <w:sz w:val="20"/>
        </w:rPr>
        <w:t>Tabel 4.7. Hiperparameter dan protokol fine-tuning IndoBERT.</w:t>
      </w:r>
    </w:p>
    <w:p>
      <w:pPr>
        <w:pStyle w:val="Heading3"/>
      </w:pPr>
      <w:r>
        <w:t>4.6.3  Dinamika Pelatihan</w:t>
      </w:r>
    </w:p>
    <w:p>
      <w:pPr>
        <w:spacing w:after="120" w:line="276" w:lineRule="auto"/>
      </w:pPr>
      <w:r>
        <w:rPr>
          <w:rFonts w:ascii="Times New Roman" w:hAnsi="Times New Roman"/>
          <w:sz w:val="24"/>
        </w:rPr>
        <w:t xml:space="preserve">Tabel 4.8 menyajikan metrik evaluasi pada himpunan validasi di setiap epoch; kurva pendampingnya ditampilkan pada Gambar 4.7. Tiga fase dapat dibedakan. </w:t>
      </w:r>
      <w:r>
        <w:rPr>
          <w:rFonts w:ascii="Times New Roman" w:hAnsi="Times New Roman"/>
          <w:b/>
          <w:i w:val="0"/>
          <w:sz w:val="24"/>
        </w:rPr>
        <w:t>Fase konvergensi cepat</w:t>
      </w:r>
      <w:r>
        <w:rPr>
          <w:rFonts w:ascii="Times New Roman" w:hAnsi="Times New Roman"/>
          <w:sz w:val="24"/>
        </w:rPr>
        <w:t xml:space="preserve"> (epoch 1–2): </w:t>
      </w:r>
      <w:r>
        <w:rPr>
          <w:rFonts w:ascii="Times New Roman" w:hAnsi="Times New Roman"/>
          <w:b w:val="0"/>
          <w:i/>
          <w:sz w:val="24"/>
        </w:rPr>
        <w:t>eval loss</w:t>
      </w:r>
      <w:r>
        <w:rPr>
          <w:rFonts w:ascii="Times New Roman" w:hAnsi="Times New Roman"/>
          <w:sz w:val="24"/>
        </w:rPr>
        <w:t xml:space="preserve"> turun dari 0,6153 menjadi 0,2097 (penurunan 66%), menunjukkan kepala klasifikasi yang tadinya diinisialisasi acak menyesuaikan diri dengan sangat cepat; recall menyentuh 1,000 pada epoch 2. </w:t>
      </w:r>
      <w:r>
        <w:rPr>
          <w:rFonts w:ascii="Times New Roman" w:hAnsi="Times New Roman"/>
          <w:b/>
          <w:i w:val="0"/>
          <w:sz w:val="24"/>
        </w:rPr>
        <w:t>Fase optimum</w:t>
      </w:r>
      <w:r>
        <w:rPr>
          <w:rFonts w:ascii="Times New Roman" w:hAnsi="Times New Roman"/>
          <w:sz w:val="24"/>
        </w:rPr>
        <w:t xml:space="preserve"> (epoch 3): </w:t>
      </w:r>
      <w:r>
        <w:rPr>
          <w:rFonts w:ascii="Times New Roman" w:hAnsi="Times New Roman"/>
          <w:b w:val="0"/>
          <w:i/>
          <w:sz w:val="24"/>
        </w:rPr>
        <w:t>eval loss</w:t>
      </w:r>
      <w:r>
        <w:rPr>
          <w:rFonts w:ascii="Times New Roman" w:hAnsi="Times New Roman"/>
          <w:sz w:val="24"/>
        </w:rPr>
        <w:t xml:space="preserve"> mencapai minimum 0,1442 dengan presisi 1,000 dan F1 0,9796 — inilah bobot yang dipulihkan otomatis oleh mekanisme pemulihan bobot terbaik. </w:t>
      </w:r>
      <w:r>
        <w:rPr>
          <w:rFonts w:ascii="Times New Roman" w:hAnsi="Times New Roman"/>
          <w:b/>
          <w:i w:val="0"/>
          <w:sz w:val="24"/>
        </w:rPr>
        <w:t>Fase awal overfitting</w:t>
      </w:r>
      <w:r>
        <w:rPr>
          <w:rFonts w:ascii="Times New Roman" w:hAnsi="Times New Roman"/>
          <w:sz w:val="24"/>
        </w:rPr>
        <w:t xml:space="preserve"> (epoch 4): </w:t>
      </w:r>
      <w:r>
        <w:rPr>
          <w:rFonts w:ascii="Times New Roman" w:hAnsi="Times New Roman"/>
          <w:b w:val="0"/>
          <w:i/>
          <w:sz w:val="24"/>
        </w:rPr>
        <w:t>eval loss</w:t>
      </w:r>
      <w:r>
        <w:rPr>
          <w:rFonts w:ascii="Times New Roman" w:hAnsi="Times New Roman"/>
          <w:sz w:val="24"/>
        </w:rPr>
        <w:t xml:space="preserve"> berbalik naik menjadi 0,2866 (naik 99%) dan F1 turun ke 0,96, sementara laju belajar telah menyusut hingga </w:t>
      </w:r>
      <w:r>
        <w:rPr>
          <w:rFonts w:ascii="Times New Roman" w:hAnsi="Times New Roman"/>
          <w:sz w:val="24"/>
        </w:rPr>
        <w:t xml:space="preserve">3,8×10⁻⁶. Kenaikan tersebut merupakan gejala overfitting dini: dengan jumlah sampel latih yang terbatas, kapasitas model sebesar ini mulai menghafal pola latih sehingga generalisasi ke validasi memburuk; </w:t>
      </w:r>
      <w:r>
        <w:rPr>
          <w:rFonts w:ascii="Times New Roman" w:hAnsi="Times New Roman"/>
          <w:b w:val="0"/>
          <w:i/>
          <w:sz w:val="24"/>
        </w:rPr>
        <w:t>early stopping</w:t>
      </w:r>
      <w:r>
        <w:rPr>
          <w:rFonts w:ascii="Times New Roman" w:hAnsi="Times New Roman"/>
          <w:sz w:val="24"/>
        </w:rPr>
        <w:t xml:space="preserve"> (patience 2) menangkap gejala tersebut dan mengembalikan bobot epoch terbaik.</w:t>
      </w:r>
    </w:p>
    <w:p>
      <w:pPr>
        <w:spacing w:after="120" w:line="276" w:lineRule="auto"/>
      </w:pPr>
      <w:r>
        <w:rPr>
          <w:rFonts w:ascii="Times New Roman" w:hAnsi="Times New Roman"/>
          <w:sz w:val="24"/>
        </w:rPr>
        <w:t xml:space="preserve">Catatan tambahan: norma gradien melonjak dari 7,5 menjadi 26,3 pada pertengahan epoch 3 sebelum kembali menurun. Lonjakan tersebut terkendali berkat penjepit gradien norm 1,0 dan justru didahului oleh perolehan </w:t>
      </w:r>
      <w:r>
        <w:rPr>
          <w:rFonts w:ascii="Times New Roman" w:hAnsi="Times New Roman"/>
          <w:b w:val="0"/>
          <w:i/>
          <w:sz w:val="24"/>
        </w:rPr>
        <w:t>eval loss</w:t>
      </w:r>
      <w:r>
        <w:rPr>
          <w:rFonts w:ascii="Times New Roman" w:hAnsi="Times New Roman"/>
          <w:sz w:val="24"/>
        </w:rPr>
        <w:t xml:space="preserve"> minimum, sehingga tidak mengganggu konvergensi.</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794"/>
            <w:shd w:fill="D9D9D9" w:val="clear"/>
          </w:tcPr>
          <w:p>
            <w:pPr>
              <w:jc w:val="center"/>
            </w:pPr>
            <w:r/>
            <w:r>
              <w:rPr>
                <w:rFonts w:ascii="Times New Roman" w:hAnsi="Times New Roman"/>
                <w:b/>
                <w:sz w:val="19"/>
              </w:rPr>
              <w:t>Epoch</w:t>
            </w:r>
          </w:p>
        </w:tc>
        <w:tc>
          <w:tcPr>
            <w:tcW w:type="dxa" w:w="1134"/>
            <w:shd w:fill="D9D9D9" w:val="clear"/>
          </w:tcPr>
          <w:p>
            <w:pPr>
              <w:jc w:val="center"/>
            </w:pPr>
            <w:r/>
            <w:r>
              <w:rPr>
                <w:rFonts w:ascii="Times New Roman" w:hAnsi="Times New Roman"/>
                <w:b/>
                <w:sz w:val="19"/>
              </w:rPr>
              <w:t>eval_loss</w:t>
            </w:r>
          </w:p>
        </w:tc>
        <w:tc>
          <w:tcPr>
            <w:tcW w:type="dxa" w:w="1134"/>
            <w:shd w:fill="D9D9D9" w:val="clear"/>
          </w:tcPr>
          <w:p>
            <w:pPr>
              <w:jc w:val="center"/>
            </w:pPr>
            <w:r/>
            <w:r>
              <w:rPr>
                <w:rFonts w:ascii="Times New Roman" w:hAnsi="Times New Roman"/>
                <w:b/>
                <w:sz w:val="19"/>
              </w:rPr>
              <w:t>Accuracy</w:t>
            </w:r>
          </w:p>
        </w:tc>
        <w:tc>
          <w:tcPr>
            <w:tcW w:type="dxa" w:w="1134"/>
            <w:shd w:fill="D9D9D9" w:val="clear"/>
          </w:tcPr>
          <w:p>
            <w:pPr>
              <w:jc w:val="center"/>
            </w:pPr>
            <w:r/>
            <w:r>
              <w:rPr>
                <w:rFonts w:ascii="Times New Roman" w:hAnsi="Times New Roman"/>
                <w:b/>
                <w:sz w:val="19"/>
              </w:rPr>
              <w:t>Precision</w:t>
            </w:r>
          </w:p>
        </w:tc>
        <w:tc>
          <w:tcPr>
            <w:tcW w:type="dxa" w:w="1020"/>
            <w:shd w:fill="D9D9D9" w:val="clear"/>
          </w:tcPr>
          <w:p>
            <w:pPr>
              <w:jc w:val="center"/>
            </w:pPr>
            <w:r/>
            <w:r>
              <w:rPr>
                <w:rFonts w:ascii="Times New Roman" w:hAnsi="Times New Roman"/>
                <w:b/>
                <w:sz w:val="19"/>
              </w:rPr>
              <w:t>Recall</w:t>
            </w:r>
          </w:p>
        </w:tc>
        <w:tc>
          <w:tcPr>
            <w:tcW w:type="dxa" w:w="907"/>
            <w:shd w:fill="D9D9D9" w:val="clear"/>
          </w:tcPr>
          <w:p>
            <w:pPr>
              <w:jc w:val="center"/>
            </w:pPr>
            <w:r/>
            <w:r>
              <w:rPr>
                <w:rFonts w:ascii="Times New Roman" w:hAnsi="Times New Roman"/>
                <w:b/>
                <w:sz w:val="19"/>
              </w:rPr>
              <w:t>F1</w:t>
            </w:r>
          </w:p>
        </w:tc>
        <w:tc>
          <w:tcPr>
            <w:tcW w:type="dxa" w:w="1134"/>
            <w:shd w:fill="D9D9D9" w:val="clear"/>
          </w:tcPr>
          <w:p>
            <w:pPr>
              <w:jc w:val="center"/>
            </w:pPr>
            <w:r/>
            <w:r>
              <w:rPr>
                <w:rFonts w:ascii="Times New Roman" w:hAnsi="Times New Roman"/>
                <w:b/>
                <w:sz w:val="19"/>
              </w:rPr>
              <w:t>ROC-AUC</w:t>
            </w:r>
          </w:p>
        </w:tc>
        <w:tc>
          <w:tcPr>
            <w:tcW w:type="dxa" w:w="1134"/>
            <w:shd w:fill="D9D9D9" w:val="clear"/>
          </w:tcPr>
          <w:p>
            <w:pPr>
              <w:jc w:val="center"/>
            </w:pPr>
            <w:r/>
            <w:r>
              <w:rPr>
                <w:rFonts w:ascii="Times New Roman" w:hAnsi="Times New Roman"/>
                <w:b/>
                <w:sz w:val="19"/>
              </w:rPr>
              <w:t>AP</w:t>
            </w:r>
          </w:p>
        </w:tc>
      </w:tr>
      <w:tr>
        <w:tc>
          <w:tcPr>
            <w:tcW w:type="dxa" w:w="794"/>
          </w:tcPr>
          <w:p>
            <w:r/>
            <w:r>
              <w:rPr>
                <w:rFonts w:ascii="Times New Roman" w:hAnsi="Times New Roman"/>
                <w:sz w:val="19"/>
              </w:rPr>
              <w:t>1</w:t>
            </w:r>
          </w:p>
        </w:tc>
        <w:tc>
          <w:tcPr>
            <w:tcW w:type="dxa" w:w="1134"/>
          </w:tcPr>
          <w:p>
            <w:r/>
            <w:r>
              <w:rPr>
                <w:rFonts w:ascii="Times New Roman" w:hAnsi="Times New Roman"/>
                <w:sz w:val="19"/>
              </w:rPr>
              <w:t>0,6153</w:t>
            </w:r>
          </w:p>
        </w:tc>
        <w:tc>
          <w:tcPr>
            <w:tcW w:type="dxa" w:w="1134"/>
          </w:tcPr>
          <w:p>
            <w:r/>
            <w:r>
              <w:rPr>
                <w:rFonts w:ascii="Times New Roman" w:hAnsi="Times New Roman"/>
                <w:sz w:val="19"/>
              </w:rPr>
              <w:t>0,94</w:t>
            </w:r>
          </w:p>
        </w:tc>
        <w:tc>
          <w:tcPr>
            <w:tcW w:type="dxa" w:w="1134"/>
          </w:tcPr>
          <w:p>
            <w:r/>
            <w:r>
              <w:rPr>
                <w:rFonts w:ascii="Times New Roman" w:hAnsi="Times New Roman"/>
                <w:sz w:val="19"/>
              </w:rPr>
              <w:t>0,923</w:t>
            </w:r>
          </w:p>
        </w:tc>
        <w:tc>
          <w:tcPr>
            <w:tcW w:type="dxa" w:w="1020"/>
          </w:tcPr>
          <w:p>
            <w:r/>
            <w:r>
              <w:rPr>
                <w:rFonts w:ascii="Times New Roman" w:hAnsi="Times New Roman"/>
                <w:sz w:val="19"/>
              </w:rPr>
              <w:t>0,96</w:t>
            </w:r>
          </w:p>
        </w:tc>
        <w:tc>
          <w:tcPr>
            <w:tcW w:type="dxa" w:w="907"/>
          </w:tcPr>
          <w:p>
            <w:r/>
            <w:r>
              <w:rPr>
                <w:rFonts w:ascii="Times New Roman" w:hAnsi="Times New Roman"/>
                <w:sz w:val="19"/>
              </w:rPr>
              <w:t>0,941</w:t>
            </w:r>
          </w:p>
        </w:tc>
        <w:tc>
          <w:tcPr>
            <w:tcW w:type="dxa" w:w="1134"/>
          </w:tcPr>
          <w:p>
            <w:r/>
            <w:r>
              <w:rPr>
                <w:rFonts w:ascii="Times New Roman" w:hAnsi="Times New Roman"/>
                <w:sz w:val="19"/>
              </w:rPr>
              <w:t>0,963</w:t>
            </w:r>
          </w:p>
        </w:tc>
        <w:tc>
          <w:tcPr>
            <w:tcW w:type="dxa" w:w="1134"/>
          </w:tcPr>
          <w:p>
            <w:r/>
            <w:r>
              <w:rPr>
                <w:rFonts w:ascii="Times New Roman" w:hAnsi="Times New Roman"/>
                <w:sz w:val="19"/>
              </w:rPr>
              <w:t>0,963</w:t>
            </w:r>
          </w:p>
        </w:tc>
      </w:tr>
      <w:tr>
        <w:tc>
          <w:tcPr>
            <w:tcW w:type="dxa" w:w="794"/>
          </w:tcPr>
          <w:p>
            <w:r/>
            <w:r>
              <w:rPr>
                <w:rFonts w:ascii="Times New Roman" w:hAnsi="Times New Roman"/>
                <w:sz w:val="19"/>
              </w:rPr>
              <w:t>2</w:t>
            </w:r>
          </w:p>
        </w:tc>
        <w:tc>
          <w:tcPr>
            <w:tcW w:type="dxa" w:w="1134"/>
          </w:tcPr>
          <w:p>
            <w:r/>
            <w:r>
              <w:rPr>
                <w:rFonts w:ascii="Times New Roman" w:hAnsi="Times New Roman"/>
                <w:sz w:val="19"/>
              </w:rPr>
              <w:t>0,2097</w:t>
            </w:r>
          </w:p>
        </w:tc>
        <w:tc>
          <w:tcPr>
            <w:tcW w:type="dxa" w:w="1134"/>
          </w:tcPr>
          <w:p>
            <w:r/>
            <w:r>
              <w:rPr>
                <w:rFonts w:ascii="Times New Roman" w:hAnsi="Times New Roman"/>
                <w:sz w:val="19"/>
              </w:rPr>
              <w:t>0,98</w:t>
            </w:r>
          </w:p>
        </w:tc>
        <w:tc>
          <w:tcPr>
            <w:tcW w:type="dxa" w:w="1134"/>
          </w:tcPr>
          <w:p>
            <w:r/>
            <w:r>
              <w:rPr>
                <w:rFonts w:ascii="Times New Roman" w:hAnsi="Times New Roman"/>
                <w:sz w:val="19"/>
              </w:rPr>
              <w:t>0,962</w:t>
            </w:r>
          </w:p>
        </w:tc>
        <w:tc>
          <w:tcPr>
            <w:tcW w:type="dxa" w:w="1020"/>
          </w:tcPr>
          <w:p>
            <w:r/>
            <w:r>
              <w:rPr>
                <w:rFonts w:ascii="Times New Roman" w:hAnsi="Times New Roman"/>
                <w:sz w:val="19"/>
              </w:rPr>
              <w:t>1</w:t>
            </w:r>
          </w:p>
        </w:tc>
        <w:tc>
          <w:tcPr>
            <w:tcW w:type="dxa" w:w="907"/>
          </w:tcPr>
          <w:p>
            <w:r/>
            <w:r>
              <w:rPr>
                <w:rFonts w:ascii="Times New Roman" w:hAnsi="Times New Roman"/>
                <w:sz w:val="19"/>
              </w:rPr>
              <w:t>0,98</w:t>
            </w:r>
          </w:p>
        </w:tc>
        <w:tc>
          <w:tcPr>
            <w:tcW w:type="dxa" w:w="1134"/>
          </w:tcPr>
          <w:p>
            <w:r/>
            <w:r>
              <w:rPr>
                <w:rFonts w:ascii="Times New Roman" w:hAnsi="Times New Roman"/>
                <w:sz w:val="19"/>
              </w:rPr>
              <w:t>0,998</w:t>
            </w:r>
          </w:p>
        </w:tc>
        <w:tc>
          <w:tcPr>
            <w:tcW w:type="dxa" w:w="1134"/>
          </w:tcPr>
          <w:p>
            <w:r/>
            <w:r>
              <w:rPr>
                <w:rFonts w:ascii="Times New Roman" w:hAnsi="Times New Roman"/>
                <w:sz w:val="19"/>
              </w:rPr>
              <w:t>0,998</w:t>
            </w:r>
          </w:p>
        </w:tc>
      </w:tr>
      <w:tr>
        <w:tc>
          <w:tcPr>
            <w:tcW w:type="dxa" w:w="794"/>
          </w:tcPr>
          <w:p>
            <w:r>
              <w:rPr>
                <w:b/>
              </w:rPr>
            </w:r>
            <w:r>
              <w:rPr>
                <w:rFonts w:ascii="Times New Roman" w:hAnsi="Times New Roman"/>
                <w:b/>
                <w:sz w:val="19"/>
              </w:rPr>
              <w:t>3</w:t>
            </w:r>
          </w:p>
        </w:tc>
        <w:tc>
          <w:tcPr>
            <w:tcW w:type="dxa" w:w="1134"/>
          </w:tcPr>
          <w:p>
            <w:r>
              <w:rPr>
                <w:b/>
              </w:rPr>
            </w:r>
            <w:r>
              <w:rPr>
                <w:rFonts w:ascii="Times New Roman" w:hAnsi="Times New Roman"/>
                <w:b/>
                <w:sz w:val="19"/>
              </w:rPr>
              <w:t>0,1442</w:t>
            </w:r>
          </w:p>
        </w:tc>
        <w:tc>
          <w:tcPr>
            <w:tcW w:type="dxa" w:w="1134"/>
          </w:tcPr>
          <w:p>
            <w:r>
              <w:rPr>
                <w:b/>
              </w:rPr>
            </w:r>
            <w:r>
              <w:rPr>
                <w:rFonts w:ascii="Times New Roman" w:hAnsi="Times New Roman"/>
                <w:b/>
                <w:sz w:val="19"/>
              </w:rPr>
              <w:t>0,98</w:t>
            </w:r>
          </w:p>
        </w:tc>
        <w:tc>
          <w:tcPr>
            <w:tcW w:type="dxa" w:w="1134"/>
          </w:tcPr>
          <w:p>
            <w:r>
              <w:rPr>
                <w:b/>
              </w:rPr>
            </w:r>
            <w:r>
              <w:rPr>
                <w:rFonts w:ascii="Times New Roman" w:hAnsi="Times New Roman"/>
                <w:b/>
                <w:sz w:val="19"/>
              </w:rPr>
              <w:t>1</w:t>
            </w:r>
          </w:p>
        </w:tc>
        <w:tc>
          <w:tcPr>
            <w:tcW w:type="dxa" w:w="1020"/>
          </w:tcPr>
          <w:p>
            <w:r>
              <w:rPr>
                <w:b/>
              </w:rPr>
            </w:r>
            <w:r>
              <w:rPr>
                <w:rFonts w:ascii="Times New Roman" w:hAnsi="Times New Roman"/>
                <w:b/>
                <w:sz w:val="19"/>
              </w:rPr>
              <w:t>0,96</w:t>
            </w:r>
          </w:p>
        </w:tc>
        <w:tc>
          <w:tcPr>
            <w:tcW w:type="dxa" w:w="907"/>
          </w:tcPr>
          <w:p>
            <w:r>
              <w:rPr>
                <w:b/>
              </w:rPr>
            </w:r>
            <w:r>
              <w:rPr>
                <w:rFonts w:ascii="Times New Roman" w:hAnsi="Times New Roman"/>
                <w:b/>
                <w:sz w:val="19"/>
              </w:rPr>
              <w:t>0,98</w:t>
            </w:r>
          </w:p>
        </w:tc>
        <w:tc>
          <w:tcPr>
            <w:tcW w:type="dxa" w:w="1134"/>
          </w:tcPr>
          <w:p>
            <w:r>
              <w:rPr>
                <w:b/>
              </w:rPr>
            </w:r>
            <w:r>
              <w:rPr>
                <w:rFonts w:ascii="Times New Roman" w:hAnsi="Times New Roman"/>
                <w:b/>
                <w:sz w:val="19"/>
              </w:rPr>
              <w:t>0,995</w:t>
            </w:r>
          </w:p>
        </w:tc>
        <w:tc>
          <w:tcPr>
            <w:tcW w:type="dxa" w:w="1134"/>
          </w:tcPr>
          <w:p>
            <w:r>
              <w:rPr>
                <w:b/>
              </w:rPr>
            </w:r>
            <w:r>
              <w:rPr>
                <w:rFonts w:ascii="Times New Roman" w:hAnsi="Times New Roman"/>
                <w:b/>
                <w:sz w:val="19"/>
              </w:rPr>
              <w:t>0,996</w:t>
            </w:r>
          </w:p>
        </w:tc>
      </w:tr>
      <w:tr>
        <w:tc>
          <w:tcPr>
            <w:tcW w:type="dxa" w:w="794"/>
          </w:tcPr>
          <w:p>
            <w:r/>
            <w:r>
              <w:rPr>
                <w:rFonts w:ascii="Times New Roman" w:hAnsi="Times New Roman"/>
                <w:sz w:val="19"/>
              </w:rPr>
              <w:t>4</w:t>
            </w:r>
          </w:p>
        </w:tc>
        <w:tc>
          <w:tcPr>
            <w:tcW w:type="dxa" w:w="1134"/>
          </w:tcPr>
          <w:p>
            <w:r/>
            <w:r>
              <w:rPr>
                <w:rFonts w:ascii="Times New Roman" w:hAnsi="Times New Roman"/>
                <w:sz w:val="19"/>
              </w:rPr>
              <w:t>0,2866</w:t>
            </w:r>
          </w:p>
        </w:tc>
        <w:tc>
          <w:tcPr>
            <w:tcW w:type="dxa" w:w="1134"/>
          </w:tcPr>
          <w:p>
            <w:r/>
            <w:r>
              <w:rPr>
                <w:rFonts w:ascii="Times New Roman" w:hAnsi="Times New Roman"/>
                <w:sz w:val="19"/>
              </w:rPr>
              <w:t>0,96</w:t>
            </w:r>
          </w:p>
        </w:tc>
        <w:tc>
          <w:tcPr>
            <w:tcW w:type="dxa" w:w="1134"/>
          </w:tcPr>
          <w:p>
            <w:r/>
            <w:r>
              <w:rPr>
                <w:rFonts w:ascii="Times New Roman" w:hAnsi="Times New Roman"/>
                <w:sz w:val="19"/>
              </w:rPr>
              <w:t>0,96</w:t>
            </w:r>
          </w:p>
        </w:tc>
        <w:tc>
          <w:tcPr>
            <w:tcW w:type="dxa" w:w="1020"/>
          </w:tcPr>
          <w:p>
            <w:r/>
            <w:r>
              <w:rPr>
                <w:rFonts w:ascii="Times New Roman" w:hAnsi="Times New Roman"/>
                <w:sz w:val="19"/>
              </w:rPr>
              <w:t>0,96</w:t>
            </w:r>
          </w:p>
        </w:tc>
        <w:tc>
          <w:tcPr>
            <w:tcW w:type="dxa" w:w="907"/>
          </w:tcPr>
          <w:p>
            <w:r/>
            <w:r>
              <w:rPr>
                <w:rFonts w:ascii="Times New Roman" w:hAnsi="Times New Roman"/>
                <w:sz w:val="19"/>
              </w:rPr>
              <w:t>0,96</w:t>
            </w:r>
          </w:p>
        </w:tc>
        <w:tc>
          <w:tcPr>
            <w:tcW w:type="dxa" w:w="1134"/>
          </w:tcPr>
          <w:p>
            <w:r/>
            <w:r>
              <w:rPr>
                <w:rFonts w:ascii="Times New Roman" w:hAnsi="Times New Roman"/>
                <w:sz w:val="19"/>
              </w:rPr>
              <w:t>0,998</w:t>
            </w:r>
          </w:p>
        </w:tc>
        <w:tc>
          <w:tcPr>
            <w:tcW w:type="dxa" w:w="1134"/>
          </w:tcPr>
          <w:p>
            <w:r/>
            <w:r>
              <w:rPr>
                <w:rFonts w:ascii="Times New Roman" w:hAnsi="Times New Roman"/>
                <w:sz w:val="19"/>
              </w:rPr>
              <w:t>0,998</w:t>
            </w:r>
          </w:p>
        </w:tc>
      </w:tr>
    </w:tbl>
    <w:p>
      <w:pPr>
        <w:spacing w:after="40"/>
      </w:pPr>
    </w:p>
    <w:p>
      <w:pPr>
        <w:spacing w:before="80" w:after="160"/>
        <w:jc w:val="center"/>
      </w:pPr>
      <w:r>
        <w:rPr>
          <w:rFonts w:ascii="Times New Roman" w:hAnsi="Times New Roman"/>
          <w:b/>
          <w:sz w:val="20"/>
        </w:rPr>
        <w:t>Tabel 4.8. Metrik evaluasi per-epoch pada himpunan validasi (ambang 0,5).</w:t>
      </w:r>
    </w:p>
    <w:p>
      <w:pPr>
        <w:jc w:val="center"/>
      </w:pPr>
      <w:r>
        <w:drawing>
          <wp:inline xmlns:a="http://schemas.openxmlformats.org/drawingml/2006/main" xmlns:pic="http://schemas.openxmlformats.org/drawingml/2006/picture">
            <wp:extent cx="5580000" cy="2208973"/>
            <wp:docPr id="4" name="Picture 4"/>
            <wp:cNvGraphicFramePr>
              <a:graphicFrameLocks noChangeAspect="1"/>
            </wp:cNvGraphicFramePr>
            <a:graphic>
              <a:graphicData uri="http://schemas.openxmlformats.org/drawingml/2006/picture">
                <pic:pic>
                  <pic:nvPicPr>
                    <pic:cNvPr id="0" name="bert_training.png"/>
                    <pic:cNvPicPr/>
                  </pic:nvPicPr>
                  <pic:blipFill>
                    <a:blip r:embed="rId12"/>
                    <a:stretch>
                      <a:fillRect/>
                    </a:stretch>
                  </pic:blipFill>
                  <pic:spPr>
                    <a:xfrm>
                      <a:off x="0" y="0"/>
                      <a:ext cx="5580000" cy="2208973"/>
                    </a:xfrm>
                    <a:prstGeom prst="rect"/>
                  </pic:spPr>
                </pic:pic>
              </a:graphicData>
            </a:graphic>
          </wp:inline>
        </w:drawing>
      </w:r>
    </w:p>
    <w:p>
      <w:pPr>
        <w:spacing w:before="80" w:after="160"/>
        <w:jc w:val="center"/>
      </w:pPr>
      <w:r>
        <w:rPr>
          <w:rFonts w:ascii="Times New Roman" w:hAnsi="Times New Roman"/>
          <w:b/>
          <w:sz w:val="20"/>
        </w:rPr>
        <w:t>Gambar 4.7. Dinamika pelatihan IndoBERT: (kiri) loss validasi vs sampling loss latih dengan penanda epoch terbaik; (kanan) metrik validasi per-epoch.</w:t>
      </w:r>
    </w:p>
    <w:p>
      <w:pPr>
        <w:pStyle w:val="Heading3"/>
      </w:pPr>
      <w:r>
        <w:t>4.6.4  Metrik Akhir dan Ketidakpastian</w:t>
      </w:r>
    </w:p>
    <w:p>
      <w:pPr>
        <w:spacing w:after="120" w:line="276" w:lineRule="auto"/>
      </w:pPr>
      <w:r>
        <w:rPr>
          <w:rFonts w:ascii="Times New Roman" w:hAnsi="Times New Roman"/>
          <w:sz w:val="24"/>
        </w:rPr>
        <w:t>Metrik akhir pada ambang tetap 0,5 disajikan pada Tabel 4.9 untuk kedua himpunan, dilengkapi interval kepercayaan (IK) 95% dari 2.000 ulangan bootstrap terstratifikasi pada Tabel 4.10. Pemilihan ambang dilakukan sebelum eksperimen dan tidak pernah disetel menggunakan himpunan beku, sehingga selisih kinerja antara validasi dan himpunan beku mencerminkan generalisasi sejati, bukan hasil optimasi seleksi.</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494"/>
            <w:shd w:fill="D9D9D9" w:val="clear"/>
          </w:tcPr>
          <w:p>
            <w:pPr>
              <w:jc w:val="center"/>
            </w:pPr>
            <w:r/>
            <w:r>
              <w:rPr>
                <w:rFonts w:ascii="Times New Roman" w:hAnsi="Times New Roman"/>
                <w:b/>
                <w:sz w:val="19"/>
              </w:rPr>
              <w:t>Himpunan</w:t>
            </w:r>
          </w:p>
        </w:tc>
        <w:tc>
          <w:tcPr>
            <w:tcW w:type="dxa" w:w="567"/>
            <w:shd w:fill="D9D9D9" w:val="clear"/>
          </w:tcPr>
          <w:p>
            <w:pPr>
              <w:jc w:val="center"/>
            </w:pPr>
            <w:r/>
            <w:r>
              <w:rPr>
                <w:rFonts w:ascii="Times New Roman" w:hAnsi="Times New Roman"/>
                <w:b/>
                <w:sz w:val="19"/>
              </w:rPr>
              <w:t>n</w:t>
            </w:r>
          </w:p>
        </w:tc>
        <w:tc>
          <w:tcPr>
            <w:tcW w:type="dxa" w:w="1020"/>
            <w:shd w:fill="D9D9D9" w:val="clear"/>
          </w:tcPr>
          <w:p>
            <w:pPr>
              <w:jc w:val="center"/>
            </w:pPr>
            <w:r/>
            <w:r>
              <w:rPr>
                <w:rFonts w:ascii="Times New Roman" w:hAnsi="Times New Roman"/>
                <w:b/>
                <w:sz w:val="19"/>
              </w:rPr>
              <w:t>Accuracy</w:t>
            </w:r>
          </w:p>
        </w:tc>
        <w:tc>
          <w:tcPr>
            <w:tcW w:type="dxa" w:w="1077"/>
            <w:shd w:fill="D9D9D9" w:val="clear"/>
          </w:tcPr>
          <w:p>
            <w:pPr>
              <w:jc w:val="center"/>
            </w:pPr>
            <w:r/>
            <w:r>
              <w:rPr>
                <w:rFonts w:ascii="Times New Roman" w:hAnsi="Times New Roman"/>
                <w:b/>
                <w:sz w:val="19"/>
              </w:rPr>
              <w:t>Precision</w:t>
            </w:r>
          </w:p>
        </w:tc>
        <w:tc>
          <w:tcPr>
            <w:tcW w:type="dxa" w:w="907"/>
            <w:shd w:fill="D9D9D9" w:val="clear"/>
          </w:tcPr>
          <w:p>
            <w:pPr>
              <w:jc w:val="center"/>
            </w:pPr>
            <w:r/>
            <w:r>
              <w:rPr>
                <w:rFonts w:ascii="Times New Roman" w:hAnsi="Times New Roman"/>
                <w:b/>
                <w:sz w:val="19"/>
              </w:rPr>
              <w:t>Recall</w:t>
            </w:r>
          </w:p>
        </w:tc>
        <w:tc>
          <w:tcPr>
            <w:tcW w:type="dxa" w:w="907"/>
            <w:shd w:fill="D9D9D9" w:val="clear"/>
          </w:tcPr>
          <w:p>
            <w:pPr>
              <w:jc w:val="center"/>
            </w:pPr>
            <w:r/>
            <w:r>
              <w:rPr>
                <w:rFonts w:ascii="Times New Roman" w:hAnsi="Times New Roman"/>
                <w:b/>
                <w:sz w:val="19"/>
              </w:rPr>
              <w:t>F1</w:t>
            </w:r>
          </w:p>
        </w:tc>
        <w:tc>
          <w:tcPr>
            <w:tcW w:type="dxa" w:w="1077"/>
            <w:shd w:fill="D9D9D9" w:val="clear"/>
          </w:tcPr>
          <w:p>
            <w:pPr>
              <w:jc w:val="center"/>
            </w:pPr>
            <w:r/>
            <w:r>
              <w:rPr>
                <w:rFonts w:ascii="Times New Roman" w:hAnsi="Times New Roman"/>
                <w:b/>
                <w:sz w:val="19"/>
              </w:rPr>
              <w:t>ROC-AUC</w:t>
            </w:r>
          </w:p>
        </w:tc>
        <w:tc>
          <w:tcPr>
            <w:tcW w:type="dxa" w:w="907"/>
            <w:shd w:fill="D9D9D9" w:val="clear"/>
          </w:tcPr>
          <w:p>
            <w:pPr>
              <w:jc w:val="center"/>
            </w:pPr>
            <w:r/>
            <w:r>
              <w:rPr>
                <w:rFonts w:ascii="Times New Roman" w:hAnsi="Times New Roman"/>
                <w:b/>
                <w:sz w:val="19"/>
              </w:rPr>
              <w:t>AP</w:t>
            </w:r>
          </w:p>
        </w:tc>
      </w:tr>
      <w:tr>
        <w:tc>
          <w:tcPr>
            <w:tcW w:type="dxa" w:w="2494"/>
          </w:tcPr>
          <w:p>
            <w:r/>
            <w:r>
              <w:rPr>
                <w:rFonts w:ascii="Times New Roman" w:hAnsi="Times New Roman"/>
                <w:sz w:val="19"/>
              </w:rPr>
              <w:t>Validasi (riil, acuan)</w:t>
            </w:r>
          </w:p>
        </w:tc>
        <w:tc>
          <w:tcPr>
            <w:tcW w:type="dxa" w:w="567"/>
          </w:tcPr>
          <w:p>
            <w:r/>
            <w:r>
              <w:rPr>
                <w:rFonts w:ascii="Times New Roman" w:hAnsi="Times New Roman"/>
                <w:sz w:val="19"/>
              </w:rPr>
              <w:t>50</w:t>
            </w:r>
          </w:p>
        </w:tc>
        <w:tc>
          <w:tcPr>
            <w:tcW w:type="dxa" w:w="1020"/>
          </w:tcPr>
          <w:p>
            <w:r/>
            <w:r>
              <w:rPr>
                <w:rFonts w:ascii="Times New Roman" w:hAnsi="Times New Roman"/>
                <w:sz w:val="19"/>
              </w:rPr>
              <w:t>0,98</w:t>
            </w:r>
          </w:p>
        </w:tc>
        <w:tc>
          <w:tcPr>
            <w:tcW w:type="dxa" w:w="1077"/>
          </w:tcPr>
          <w:p>
            <w:r/>
            <w:r>
              <w:rPr>
                <w:rFonts w:ascii="Times New Roman" w:hAnsi="Times New Roman"/>
                <w:sz w:val="19"/>
              </w:rPr>
              <w:t>1</w:t>
            </w:r>
          </w:p>
        </w:tc>
        <w:tc>
          <w:tcPr>
            <w:tcW w:type="dxa" w:w="907"/>
          </w:tcPr>
          <w:p>
            <w:r/>
            <w:r>
              <w:rPr>
                <w:rFonts w:ascii="Times New Roman" w:hAnsi="Times New Roman"/>
                <w:sz w:val="19"/>
              </w:rPr>
              <w:t>0,96</w:t>
            </w:r>
          </w:p>
        </w:tc>
        <w:tc>
          <w:tcPr>
            <w:tcW w:type="dxa" w:w="907"/>
          </w:tcPr>
          <w:p>
            <w:r/>
            <w:r>
              <w:rPr>
                <w:rFonts w:ascii="Times New Roman" w:hAnsi="Times New Roman"/>
                <w:sz w:val="19"/>
              </w:rPr>
              <w:t>0,98</w:t>
            </w:r>
          </w:p>
        </w:tc>
        <w:tc>
          <w:tcPr>
            <w:tcW w:type="dxa" w:w="1077"/>
          </w:tcPr>
          <w:p>
            <w:r/>
            <w:r>
              <w:rPr>
                <w:rFonts w:ascii="Times New Roman" w:hAnsi="Times New Roman"/>
                <w:sz w:val="19"/>
              </w:rPr>
              <w:t>0,995</w:t>
            </w:r>
          </w:p>
        </w:tc>
        <w:tc>
          <w:tcPr>
            <w:tcW w:type="dxa" w:w="907"/>
          </w:tcPr>
          <w:p>
            <w:r/>
            <w:r>
              <w:rPr>
                <w:rFonts w:ascii="Times New Roman" w:hAnsi="Times New Roman"/>
                <w:sz w:val="19"/>
              </w:rPr>
              <w:t>0,996</w:t>
            </w:r>
          </w:p>
        </w:tc>
      </w:tr>
      <w:tr>
        <w:tc>
          <w:tcPr>
            <w:tcW w:type="dxa" w:w="2494"/>
          </w:tcPr>
          <w:p>
            <w:r/>
            <w:r>
              <w:rPr>
                <w:rFonts w:ascii="Times New Roman" w:hAnsi="Times New Roman"/>
                <w:sz w:val="19"/>
              </w:rPr>
              <w:t>Himpunan beku (riil, acuan)</w:t>
            </w:r>
          </w:p>
        </w:tc>
        <w:tc>
          <w:tcPr>
            <w:tcW w:type="dxa" w:w="567"/>
          </w:tcPr>
          <w:p>
            <w:r/>
            <w:r>
              <w:rPr>
                <w:rFonts w:ascii="Times New Roman" w:hAnsi="Times New Roman"/>
                <w:sz w:val="19"/>
              </w:rPr>
              <w:t>50</w:t>
            </w:r>
          </w:p>
        </w:tc>
        <w:tc>
          <w:tcPr>
            <w:tcW w:type="dxa" w:w="1020"/>
          </w:tcPr>
          <w:p>
            <w:r/>
            <w:r>
              <w:rPr>
                <w:rFonts w:ascii="Times New Roman" w:hAnsi="Times New Roman"/>
                <w:sz w:val="19"/>
              </w:rPr>
              <w:t>0,9</w:t>
            </w:r>
          </w:p>
        </w:tc>
        <w:tc>
          <w:tcPr>
            <w:tcW w:type="dxa" w:w="1077"/>
          </w:tcPr>
          <w:p>
            <w:r/>
            <w:r>
              <w:rPr>
                <w:rFonts w:ascii="Times New Roman" w:hAnsi="Times New Roman"/>
                <w:sz w:val="19"/>
              </w:rPr>
              <w:t>0,917</w:t>
            </w:r>
          </w:p>
        </w:tc>
        <w:tc>
          <w:tcPr>
            <w:tcW w:type="dxa" w:w="907"/>
          </w:tcPr>
          <w:p>
            <w:r/>
            <w:r>
              <w:rPr>
                <w:rFonts w:ascii="Times New Roman" w:hAnsi="Times New Roman"/>
                <w:sz w:val="19"/>
              </w:rPr>
              <w:t>0,88</w:t>
            </w:r>
          </w:p>
        </w:tc>
        <w:tc>
          <w:tcPr>
            <w:tcW w:type="dxa" w:w="907"/>
          </w:tcPr>
          <w:p>
            <w:r/>
            <w:r>
              <w:rPr>
                <w:rFonts w:ascii="Times New Roman" w:hAnsi="Times New Roman"/>
                <w:sz w:val="19"/>
              </w:rPr>
              <w:t>0,898</w:t>
            </w:r>
          </w:p>
        </w:tc>
        <w:tc>
          <w:tcPr>
            <w:tcW w:type="dxa" w:w="1077"/>
          </w:tcPr>
          <w:p>
            <w:r/>
            <w:r>
              <w:rPr>
                <w:rFonts w:ascii="Times New Roman" w:hAnsi="Times New Roman"/>
                <w:sz w:val="19"/>
              </w:rPr>
              <w:t>0,984</w:t>
            </w:r>
          </w:p>
        </w:tc>
        <w:tc>
          <w:tcPr>
            <w:tcW w:type="dxa" w:w="907"/>
          </w:tcPr>
          <w:p>
            <w:r/>
            <w:r>
              <w:rPr>
                <w:rFonts w:ascii="Times New Roman" w:hAnsi="Times New Roman"/>
                <w:sz w:val="19"/>
              </w:rPr>
              <w:t>0,985</w:t>
            </w:r>
          </w:p>
        </w:tc>
      </w:tr>
    </w:tbl>
    <w:p>
      <w:pPr>
        <w:spacing w:after="40"/>
      </w:pPr>
    </w:p>
    <w:p>
      <w:pPr>
        <w:spacing w:before="80" w:after="160"/>
        <w:jc w:val="center"/>
      </w:pPr>
      <w:r>
        <w:rPr>
          <w:rFonts w:ascii="Times New Roman" w:hAnsi="Times New Roman"/>
          <w:b/>
          <w:sz w:val="20"/>
        </w:rPr>
        <w:t>Tabel 4.9. Metrik akhir IndoBERT pada ambang tetap 0,5.</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fill="D9D9D9" w:val="clear"/>
          </w:tcPr>
          <w:p>
            <w:pPr>
              <w:jc w:val="center"/>
            </w:pPr>
            <w:r/>
            <w:r>
              <w:rPr>
                <w:rFonts w:ascii="Times New Roman" w:hAnsi="Times New Roman"/>
                <w:b/>
                <w:sz w:val="19"/>
              </w:rPr>
              <w:t>Metrik</w:t>
            </w:r>
          </w:p>
        </w:tc>
        <w:tc>
          <w:tcPr>
            <w:tcW w:type="dxa" w:w="3402"/>
            <w:shd w:fill="D9D9D9" w:val="clear"/>
          </w:tcPr>
          <w:p>
            <w:pPr>
              <w:jc w:val="center"/>
            </w:pPr>
            <w:r/>
            <w:r>
              <w:rPr>
                <w:rFonts w:ascii="Times New Roman" w:hAnsi="Times New Roman"/>
                <w:b/>
                <w:sz w:val="19"/>
              </w:rPr>
              <w:t>Validasi (titik [IK 95%])</w:t>
            </w:r>
          </w:p>
        </w:tc>
        <w:tc>
          <w:tcPr>
            <w:tcW w:type="dxa" w:w="3402"/>
            <w:shd w:fill="D9D9D9" w:val="clear"/>
          </w:tcPr>
          <w:p>
            <w:pPr>
              <w:jc w:val="center"/>
            </w:pPr>
            <w:r/>
            <w:r>
              <w:rPr>
                <w:rFonts w:ascii="Times New Roman" w:hAnsi="Times New Roman"/>
                <w:b/>
                <w:sz w:val="19"/>
              </w:rPr>
              <w:t>Himpunan beku (titik [IK 95%])</w:t>
            </w:r>
          </w:p>
        </w:tc>
      </w:tr>
      <w:tr>
        <w:tc>
          <w:tcPr>
            <w:tcW w:type="dxa" w:w="2041"/>
          </w:tcPr>
          <w:p>
            <w:r/>
            <w:r>
              <w:rPr>
                <w:rFonts w:ascii="Times New Roman" w:hAnsi="Times New Roman"/>
                <w:sz w:val="19"/>
              </w:rPr>
              <w:t>Accuracy</w:t>
            </w:r>
          </w:p>
        </w:tc>
        <w:tc>
          <w:tcPr>
            <w:tcW w:type="dxa" w:w="3402"/>
          </w:tcPr>
          <w:p>
            <w:r/>
            <w:r>
              <w:rPr>
                <w:rFonts w:ascii="Times New Roman" w:hAnsi="Times New Roman"/>
                <w:sz w:val="19"/>
              </w:rPr>
              <w:t>0,98 [0,981 [0,94–1]]</w:t>
            </w:r>
          </w:p>
        </w:tc>
        <w:tc>
          <w:tcPr>
            <w:tcW w:type="dxa" w:w="3402"/>
          </w:tcPr>
          <w:p>
            <w:r/>
            <w:r>
              <w:rPr>
                <w:rFonts w:ascii="Times New Roman" w:hAnsi="Times New Roman"/>
                <w:sz w:val="19"/>
              </w:rPr>
              <w:t>0,9 [0,901 [0,82–0,98]]</w:t>
            </w:r>
          </w:p>
        </w:tc>
      </w:tr>
      <w:tr>
        <w:tc>
          <w:tcPr>
            <w:tcW w:type="dxa" w:w="2041"/>
          </w:tcPr>
          <w:p>
            <w:r/>
            <w:r>
              <w:rPr>
                <w:rFonts w:ascii="Times New Roman" w:hAnsi="Times New Roman"/>
                <w:sz w:val="19"/>
              </w:rPr>
              <w:t>Precision</w:t>
            </w:r>
          </w:p>
        </w:tc>
        <w:tc>
          <w:tcPr>
            <w:tcW w:type="dxa" w:w="3402"/>
          </w:tcPr>
          <w:p>
            <w:r/>
            <w:r>
              <w:rPr>
                <w:rFonts w:ascii="Times New Roman" w:hAnsi="Times New Roman"/>
                <w:sz w:val="19"/>
              </w:rPr>
              <w:t>1 [1 [1–1]]</w:t>
            </w:r>
          </w:p>
        </w:tc>
        <w:tc>
          <w:tcPr>
            <w:tcW w:type="dxa" w:w="3402"/>
          </w:tcPr>
          <w:p>
            <w:r/>
            <w:r>
              <w:rPr>
                <w:rFonts w:ascii="Times New Roman" w:hAnsi="Times New Roman"/>
                <w:sz w:val="19"/>
              </w:rPr>
              <w:t>0,917 [0,919 [0,81–1]]</w:t>
            </w:r>
          </w:p>
        </w:tc>
      </w:tr>
      <w:tr>
        <w:tc>
          <w:tcPr>
            <w:tcW w:type="dxa" w:w="2041"/>
          </w:tcPr>
          <w:p>
            <w:r/>
            <w:r>
              <w:rPr>
                <w:rFonts w:ascii="Times New Roman" w:hAnsi="Times New Roman"/>
                <w:sz w:val="19"/>
              </w:rPr>
              <w:t>Recall</w:t>
            </w:r>
          </w:p>
        </w:tc>
        <w:tc>
          <w:tcPr>
            <w:tcW w:type="dxa" w:w="3402"/>
          </w:tcPr>
          <w:p>
            <w:r/>
            <w:r>
              <w:rPr>
                <w:rFonts w:ascii="Times New Roman" w:hAnsi="Times New Roman"/>
                <w:sz w:val="19"/>
              </w:rPr>
              <w:t>0,96 [0,962 [0,88–1]]</w:t>
            </w:r>
          </w:p>
        </w:tc>
        <w:tc>
          <w:tcPr>
            <w:tcW w:type="dxa" w:w="3402"/>
          </w:tcPr>
          <w:p>
            <w:r/>
            <w:r>
              <w:rPr>
                <w:rFonts w:ascii="Times New Roman" w:hAnsi="Times New Roman"/>
                <w:sz w:val="19"/>
              </w:rPr>
              <w:t>0,88 [0,883 [0,76–1]]</w:t>
            </w:r>
          </w:p>
        </w:tc>
      </w:tr>
      <w:tr>
        <w:tc>
          <w:tcPr>
            <w:tcW w:type="dxa" w:w="2041"/>
          </w:tcPr>
          <w:p>
            <w:r/>
            <w:r>
              <w:rPr>
                <w:rFonts w:ascii="Times New Roman" w:hAnsi="Times New Roman"/>
                <w:sz w:val="19"/>
              </w:rPr>
              <w:t>Skor-F1</w:t>
            </w:r>
          </w:p>
        </w:tc>
        <w:tc>
          <w:tcPr>
            <w:tcW w:type="dxa" w:w="3402"/>
          </w:tcPr>
          <w:p>
            <w:r/>
            <w:r>
              <w:rPr>
                <w:rFonts w:ascii="Times New Roman" w:hAnsi="Times New Roman"/>
                <w:sz w:val="19"/>
              </w:rPr>
              <w:t>0,98 [0,98 [0,94–1]]</w:t>
            </w:r>
          </w:p>
        </w:tc>
        <w:tc>
          <w:tcPr>
            <w:tcW w:type="dxa" w:w="3402"/>
          </w:tcPr>
          <w:p>
            <w:r/>
            <w:r>
              <w:rPr>
                <w:rFonts w:ascii="Times New Roman" w:hAnsi="Times New Roman"/>
                <w:sz w:val="19"/>
              </w:rPr>
              <w:t>0,898 [0,899 [0,81–0,98]]</w:t>
            </w:r>
          </w:p>
        </w:tc>
      </w:tr>
      <w:tr>
        <w:tc>
          <w:tcPr>
            <w:tcW w:type="dxa" w:w="2041"/>
          </w:tcPr>
          <w:p>
            <w:r/>
            <w:r>
              <w:rPr>
                <w:rFonts w:ascii="Times New Roman" w:hAnsi="Times New Roman"/>
                <w:sz w:val="19"/>
              </w:rPr>
              <w:t>ROC-AUC</w:t>
            </w:r>
          </w:p>
        </w:tc>
        <w:tc>
          <w:tcPr>
            <w:tcW w:type="dxa" w:w="3402"/>
          </w:tcPr>
          <w:p>
            <w:r/>
            <w:r>
              <w:rPr>
                <w:rFonts w:ascii="Times New Roman" w:hAnsi="Times New Roman"/>
                <w:sz w:val="19"/>
              </w:rPr>
              <w:t>0,995 [0,996 [0,98–1]]</w:t>
            </w:r>
          </w:p>
        </w:tc>
        <w:tc>
          <w:tcPr>
            <w:tcW w:type="dxa" w:w="3402"/>
          </w:tcPr>
          <w:p>
            <w:r/>
            <w:r>
              <w:rPr>
                <w:rFonts w:ascii="Times New Roman" w:hAnsi="Times New Roman"/>
                <w:sz w:val="19"/>
              </w:rPr>
              <w:t>0,984 [0,984 [0,96–1]]</w:t>
            </w:r>
          </w:p>
        </w:tc>
      </w:tr>
    </w:tbl>
    <w:p>
      <w:pPr>
        <w:spacing w:after="40"/>
      </w:pPr>
    </w:p>
    <w:p>
      <w:pPr>
        <w:spacing w:before="80" w:after="160"/>
        <w:jc w:val="center"/>
      </w:pPr>
      <w:r>
        <w:rPr>
          <w:rFonts w:ascii="Times New Roman" w:hAnsi="Times New Roman"/>
          <w:b/>
          <w:sz w:val="20"/>
        </w:rPr>
        <w:t>Tabel 4.10. Interval kepercayaan 95% bootstrap terstratifikasi (2.000 ulangan, benih 42); sumber: bootstrap_ci_bert.csv.</w:t>
      </w:r>
    </w:p>
    <w:p>
      <w:pPr>
        <w:spacing w:after="120" w:line="276" w:lineRule="auto"/>
      </w:pPr>
      <w:r>
        <w:rPr>
          <w:rFonts w:ascii="Times New Roman" w:hAnsi="Times New Roman"/>
          <w:sz w:val="24"/>
        </w:rPr>
        <w:t>Penurunan F1 dari 0,9796 pada validasi ke 0,898 pada himpunan beku (selisih 0,082) berada dalam rentang yang wajar untuk perpindahan ke himpunan yang tidak tersentuh proses seleksi maupun penyetelan apa pun; selisih ROC-AUC hanya 0,011, mengindikasikan peringkat kelas yang stabil di luar data validasi.</w:t>
      </w:r>
    </w:p>
    <w:p>
      <w:pPr>
        <w:pStyle w:val="Heading3"/>
      </w:pPr>
      <w:r>
        <w:t>4.6.5  Matriks Konfusi dan Analisis Kesalahan</w:t>
      </w:r>
    </w:p>
    <w:p>
      <w:pPr>
        <w:spacing w:after="120" w:line="276" w:lineRule="auto"/>
      </w:pPr>
      <w:r>
        <w:rPr>
          <w:rFonts w:ascii="Times New Roman" w:hAnsi="Times New Roman"/>
          <w:sz w:val="24"/>
        </w:rPr>
        <w:t>Pada himpunan validasi model menghasilkan 25 benar-safe, 0 positif-palsu, 1 negatif-palsu, dan 24 benar-unsafe (Gambar 4.8a). Pada himpunan beku (Gambar 4.8b) komposisinya menjadi 23/2/3/22: recall kelas tidak aman 0,88 (hanya 3 sampel berbahaya lolos) sementara 2 sampel aman diperingatkan berlebih. Untuk aplikasi keselamatan pangan, negatif-palsu (alergen lolos) jauh lebih berbahaya daripada positif-palsu (peringatan berlebih), sehingga profil kesalahan himpunan beku — yang didominasi positif-palsu — masih dapat diterima.</w:t>
      </w:r>
    </w:p>
    <w:p>
      <w:pPr>
        <w:jc w:val="center"/>
      </w:pPr>
      <w:r>
        <w:drawing>
          <wp:inline xmlns:a="http://schemas.openxmlformats.org/drawingml/2006/main" xmlns:pic="http://schemas.openxmlformats.org/drawingml/2006/picture">
            <wp:extent cx="5220000" cy="2206199"/>
            <wp:docPr id="5" name="Picture 5"/>
            <wp:cNvGraphicFramePr>
              <a:graphicFrameLocks noChangeAspect="1"/>
            </wp:cNvGraphicFramePr>
            <a:graphic>
              <a:graphicData uri="http://schemas.openxmlformats.org/drawingml/2006/picture">
                <pic:pic>
                  <pic:nvPicPr>
                    <pic:cNvPr id="0" name="bert_confusion.png"/>
                    <pic:cNvPicPr/>
                  </pic:nvPicPr>
                  <pic:blipFill>
                    <a:blip r:embed="rId13"/>
                    <a:stretch>
                      <a:fillRect/>
                    </a:stretch>
                  </pic:blipFill>
                  <pic:spPr>
                    <a:xfrm>
                      <a:off x="0" y="0"/>
                      <a:ext cx="5220000" cy="2206199"/>
                    </a:xfrm>
                    <a:prstGeom prst="rect"/>
                  </pic:spPr>
                </pic:pic>
              </a:graphicData>
            </a:graphic>
          </wp:inline>
        </w:drawing>
      </w:r>
    </w:p>
    <w:p>
      <w:pPr>
        <w:spacing w:before="80" w:after="160"/>
        <w:jc w:val="center"/>
      </w:pPr>
      <w:r>
        <w:rPr>
          <w:rFonts w:ascii="Times New Roman" w:hAnsi="Times New Roman"/>
          <w:b/>
          <w:sz w:val="20"/>
        </w:rPr>
        <w:t>Gambar 4.8. Matriks konfusi IndoBERT pada (a) validasi dan (b) himpunan beku.</w:t>
      </w:r>
    </w:p>
    <w:p>
      <w:pPr>
        <w:spacing w:after="120" w:line="276" w:lineRule="auto"/>
      </w:pPr>
      <w:r>
        <w:rPr>
          <w:rFonts w:ascii="Times New Roman" w:hAnsi="Times New Roman"/>
          <w:sz w:val="24"/>
        </w:rPr>
        <w:t>Seluruh kesalahan klasifikasi teridentifikasi pada Tabel 4.11 beserta probabilitas kelas tidak aman yang diberikan model.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304"/>
            <w:shd w:fill="D9D9D9" w:val="clear"/>
          </w:tcPr>
          <w:p>
            <w:pPr>
              <w:jc w:val="center"/>
            </w:pPr>
            <w:r/>
            <w:r>
              <w:rPr>
                <w:rFonts w:ascii="Times New Roman" w:hAnsi="Times New Roman"/>
                <w:b/>
                <w:sz w:val="19"/>
              </w:rPr>
              <w:t>Himpunan</w:t>
            </w:r>
          </w:p>
        </w:tc>
        <w:tc>
          <w:tcPr>
            <w:tcW w:type="dxa" w:w="2835"/>
            <w:shd w:fill="D9D9D9" w:val="clear"/>
          </w:tcPr>
          <w:p>
            <w:pPr>
              <w:jc w:val="center"/>
            </w:pPr>
            <w:r/>
            <w:r>
              <w:rPr>
                <w:rFonts w:ascii="Times New Roman" w:hAnsi="Times New Roman"/>
                <w:b/>
                <w:sz w:val="19"/>
              </w:rPr>
              <w:t>Kutipan teks (awal)</w:t>
            </w:r>
          </w:p>
        </w:tc>
        <w:tc>
          <w:tcPr>
            <w:tcW w:type="dxa" w:w="964"/>
            <w:shd w:fill="D9D9D9" w:val="clear"/>
          </w:tcPr>
          <w:p>
            <w:pPr>
              <w:jc w:val="center"/>
            </w:pPr>
            <w:r/>
            <w:r>
              <w:rPr>
                <w:rFonts w:ascii="Times New Roman" w:hAnsi="Times New Roman"/>
                <w:b/>
                <w:sz w:val="19"/>
              </w:rPr>
              <w:t>Acuan</w:t>
            </w:r>
          </w:p>
        </w:tc>
        <w:tc>
          <w:tcPr>
            <w:tcW w:type="dxa" w:w="1077"/>
            <w:shd w:fill="D9D9D9" w:val="clear"/>
          </w:tcPr>
          <w:p>
            <w:pPr>
              <w:jc w:val="center"/>
            </w:pPr>
            <w:r/>
            <w:r>
              <w:rPr>
                <w:rFonts w:ascii="Times New Roman" w:hAnsi="Times New Roman"/>
                <w:b/>
                <w:sz w:val="19"/>
              </w:rPr>
              <w:t>Prediksi</w:t>
            </w:r>
          </w:p>
        </w:tc>
        <w:tc>
          <w:tcPr>
            <w:tcW w:type="dxa" w:w="1077"/>
            <w:shd w:fill="D9D9D9" w:val="clear"/>
          </w:tcPr>
          <w:p>
            <w:pPr>
              <w:jc w:val="center"/>
            </w:pPr>
            <w:r/>
            <w:r>
              <w:rPr>
                <w:rFonts w:ascii="Times New Roman" w:hAnsi="Times New Roman"/>
                <w:b/>
                <w:sz w:val="19"/>
              </w:rPr>
              <w:t>P(unsafe)</w:t>
            </w:r>
          </w:p>
        </w:tc>
        <w:tc>
          <w:tcPr>
            <w:tcW w:type="dxa" w:w="1701"/>
            <w:shd w:fill="D9D9D9" w:val="clear"/>
          </w:tcPr>
          <w:p>
            <w:pPr>
              <w:jc w:val="center"/>
            </w:pPr>
            <w:r/>
            <w:r>
              <w:rPr>
                <w:rFonts w:ascii="Times New Roman" w:hAnsi="Times New Roman"/>
                <w:b/>
                <w:sz w:val="19"/>
              </w:rPr>
              <w:t>Tipe kesalahan</w:t>
            </w:r>
          </w:p>
        </w:tc>
      </w:tr>
      <w:tr>
        <w:tc>
          <w:tcPr>
            <w:tcW w:type="dxa" w:w="1304"/>
          </w:tcPr>
          <w:p>
            <w:r/>
            <w:r>
              <w:rPr>
                <w:rFonts w:ascii="Times New Roman" w:hAnsi="Times New Roman"/>
                <w:sz w:val="19"/>
              </w:rPr>
              <w:t>Validasi</w:t>
            </w:r>
          </w:p>
        </w:tc>
        <w:tc>
          <w:tcPr>
            <w:tcW w:type="dxa" w:w="2835"/>
          </w:tcPr>
          <w:p>
            <w:r/>
            <w:r>
              <w:rPr>
                <w:rFonts w:ascii="Times New Roman" w:hAnsi="Times New Roman"/>
                <w:sz w:val="19"/>
              </w:rPr>
              <w:t>Komposisi: krim, kuttur iaktat,</w:t>
              <w:br/>
              <w:br/>
              <w:t>Lem</w:t>
            </w:r>
          </w:p>
        </w:tc>
        <w:tc>
          <w:tcPr>
            <w:tcW w:type="dxa" w:w="964"/>
          </w:tcPr>
          <w:p>
            <w:r/>
            <w:r>
              <w:rPr>
                <w:rFonts w:ascii="Times New Roman" w:hAnsi="Times New Roman"/>
                <w:sz w:val="19"/>
              </w:rPr>
              <w:t>unsafe</w:t>
            </w:r>
          </w:p>
        </w:tc>
        <w:tc>
          <w:tcPr>
            <w:tcW w:type="dxa" w:w="1077"/>
          </w:tcPr>
          <w:p>
            <w:r/>
            <w:r>
              <w:rPr>
                <w:rFonts w:ascii="Times New Roman" w:hAnsi="Times New Roman"/>
                <w:sz w:val="19"/>
              </w:rPr>
              <w:t>safe</w:t>
            </w:r>
          </w:p>
        </w:tc>
        <w:tc>
          <w:tcPr>
            <w:tcW w:type="dxa" w:w="1077"/>
          </w:tcPr>
          <w:p>
            <w:r/>
            <w:r>
              <w:rPr>
                <w:rFonts w:ascii="Times New Roman" w:hAnsi="Times New Roman"/>
                <w:sz w:val="19"/>
              </w:rPr>
              <w:t>0,1</w:t>
            </w:r>
          </w:p>
        </w:tc>
        <w:tc>
          <w:tcPr>
            <w:tcW w:type="dxa" w:w="1701"/>
          </w:tcPr>
          <w:p>
            <w:r/>
            <w:r>
              <w:rPr>
                <w:rFonts w:ascii="Times New Roman" w:hAnsi="Times New Roman"/>
                <w:sz w:val="19"/>
              </w:rPr>
              <w:t>FN (alergen lolos)</w:t>
            </w:r>
          </w:p>
        </w:tc>
      </w:tr>
      <w:tr>
        <w:tc>
          <w:tcPr>
            <w:tcW w:type="dxa" w:w="1304"/>
          </w:tcPr>
          <w:p>
            <w:r/>
            <w:r>
              <w:rPr>
                <w:rFonts w:ascii="Times New Roman" w:hAnsi="Times New Roman"/>
                <w:sz w:val="19"/>
              </w:rPr>
              <w:t>Himpunan beku</w:t>
            </w:r>
          </w:p>
        </w:tc>
        <w:tc>
          <w:tcPr>
            <w:tcW w:type="dxa" w:w="2835"/>
          </w:tcPr>
          <w:p>
            <w:r/>
            <w:r>
              <w:rPr>
                <w:rFonts w:ascii="Times New Roman" w:hAnsi="Times New Roman"/>
                <w:sz w:val="19"/>
              </w:rPr>
              <w:t>Bihun : Pati Jagung, Beras, Pati Tap</w:t>
            </w:r>
          </w:p>
        </w:tc>
        <w:tc>
          <w:tcPr>
            <w:tcW w:type="dxa" w:w="964"/>
          </w:tcPr>
          <w:p>
            <w:r/>
            <w:r>
              <w:rPr>
                <w:rFonts w:ascii="Times New Roman" w:hAnsi="Times New Roman"/>
                <w:sz w:val="19"/>
              </w:rPr>
              <w:t>unsafe</w:t>
            </w:r>
          </w:p>
        </w:tc>
        <w:tc>
          <w:tcPr>
            <w:tcW w:type="dxa" w:w="1077"/>
          </w:tcPr>
          <w:p>
            <w:r/>
            <w:r>
              <w:rPr>
                <w:rFonts w:ascii="Times New Roman" w:hAnsi="Times New Roman"/>
                <w:sz w:val="19"/>
              </w:rPr>
              <w:t>safe</w:t>
            </w:r>
          </w:p>
        </w:tc>
        <w:tc>
          <w:tcPr>
            <w:tcW w:type="dxa" w:w="1077"/>
          </w:tcPr>
          <w:p>
            <w:r/>
            <w:r>
              <w:rPr>
                <w:rFonts w:ascii="Times New Roman" w:hAnsi="Times New Roman"/>
                <w:sz w:val="19"/>
              </w:rPr>
              <w:t>0,391</w:t>
            </w:r>
          </w:p>
        </w:tc>
        <w:tc>
          <w:tcPr>
            <w:tcW w:type="dxa" w:w="1701"/>
          </w:tcPr>
          <w:p>
            <w:r/>
            <w:r>
              <w:rPr>
                <w:rFonts w:ascii="Times New Roman" w:hAnsi="Times New Roman"/>
                <w:sz w:val="19"/>
              </w:rPr>
              <w:t>FN (alergen lolos)</w:t>
            </w:r>
          </w:p>
        </w:tc>
      </w:tr>
      <w:tr>
        <w:tc>
          <w:tcPr>
            <w:tcW w:type="dxa" w:w="1304"/>
          </w:tcPr>
          <w:p>
            <w:r/>
            <w:r>
              <w:rPr>
                <w:rFonts w:ascii="Times New Roman" w:hAnsi="Times New Roman"/>
                <w:sz w:val="19"/>
              </w:rPr>
              <w:t>Himpunan beku</w:t>
            </w:r>
          </w:p>
        </w:tc>
        <w:tc>
          <w:tcPr>
            <w:tcW w:type="dxa" w:w="2835"/>
          </w:tcPr>
          <w:p>
            <w:r/>
            <w:r>
              <w:rPr>
                <w:rFonts w:ascii="Times New Roman" w:hAnsi="Times New Roman"/>
                <w:sz w:val="19"/>
              </w:rPr>
              <w:t>Susu Sapi Segar (100%) TANPA PEWARNA</w:t>
            </w:r>
          </w:p>
        </w:tc>
        <w:tc>
          <w:tcPr>
            <w:tcW w:type="dxa" w:w="964"/>
          </w:tcPr>
          <w:p>
            <w:r/>
            <w:r>
              <w:rPr>
                <w:rFonts w:ascii="Times New Roman" w:hAnsi="Times New Roman"/>
                <w:sz w:val="19"/>
              </w:rPr>
              <w:t>unsafe</w:t>
            </w:r>
          </w:p>
        </w:tc>
        <w:tc>
          <w:tcPr>
            <w:tcW w:type="dxa" w:w="1077"/>
          </w:tcPr>
          <w:p>
            <w:r/>
            <w:r>
              <w:rPr>
                <w:rFonts w:ascii="Times New Roman" w:hAnsi="Times New Roman"/>
                <w:sz w:val="19"/>
              </w:rPr>
              <w:t>safe</w:t>
            </w:r>
          </w:p>
        </w:tc>
        <w:tc>
          <w:tcPr>
            <w:tcW w:type="dxa" w:w="1077"/>
          </w:tcPr>
          <w:p>
            <w:r/>
            <w:r>
              <w:rPr>
                <w:rFonts w:ascii="Times New Roman" w:hAnsi="Times New Roman"/>
                <w:sz w:val="19"/>
              </w:rPr>
              <w:t>0,246</w:t>
            </w:r>
          </w:p>
        </w:tc>
        <w:tc>
          <w:tcPr>
            <w:tcW w:type="dxa" w:w="1701"/>
          </w:tcPr>
          <w:p>
            <w:r/>
            <w:r>
              <w:rPr>
                <w:rFonts w:ascii="Times New Roman" w:hAnsi="Times New Roman"/>
                <w:sz w:val="19"/>
              </w:rPr>
              <w:t>FN (alergen lolos)</w:t>
            </w:r>
          </w:p>
        </w:tc>
      </w:tr>
      <w:tr>
        <w:tc>
          <w:tcPr>
            <w:tcW w:type="dxa" w:w="1304"/>
          </w:tcPr>
          <w:p>
            <w:r/>
            <w:r>
              <w:rPr>
                <w:rFonts w:ascii="Times New Roman" w:hAnsi="Times New Roman"/>
                <w:sz w:val="19"/>
              </w:rPr>
              <w:t>Himpunan beku</w:t>
            </w:r>
          </w:p>
        </w:tc>
        <w:tc>
          <w:tcPr>
            <w:tcW w:type="dxa" w:w="2835"/>
          </w:tcPr>
          <w:p>
            <w:r/>
            <w:r>
              <w:rPr>
                <w:rFonts w:ascii="Times New Roman" w:hAnsi="Times New Roman"/>
                <w:sz w:val="19"/>
              </w:rPr>
              <w:t>Susu Sapi Segar (94,67%), Gula, Siru</w:t>
            </w:r>
          </w:p>
        </w:tc>
        <w:tc>
          <w:tcPr>
            <w:tcW w:type="dxa" w:w="964"/>
          </w:tcPr>
          <w:p>
            <w:r/>
            <w:r>
              <w:rPr>
                <w:rFonts w:ascii="Times New Roman" w:hAnsi="Times New Roman"/>
                <w:sz w:val="19"/>
              </w:rPr>
              <w:t>unsafe</w:t>
            </w:r>
          </w:p>
        </w:tc>
        <w:tc>
          <w:tcPr>
            <w:tcW w:type="dxa" w:w="1077"/>
          </w:tcPr>
          <w:p>
            <w:r/>
            <w:r>
              <w:rPr>
                <w:rFonts w:ascii="Times New Roman" w:hAnsi="Times New Roman"/>
                <w:sz w:val="19"/>
              </w:rPr>
              <w:t>safe</w:t>
            </w:r>
          </w:p>
        </w:tc>
        <w:tc>
          <w:tcPr>
            <w:tcW w:type="dxa" w:w="1077"/>
          </w:tcPr>
          <w:p>
            <w:r/>
            <w:r>
              <w:rPr>
                <w:rFonts w:ascii="Times New Roman" w:hAnsi="Times New Roman"/>
                <w:sz w:val="19"/>
              </w:rPr>
              <w:t>0,359</w:t>
            </w:r>
          </w:p>
        </w:tc>
        <w:tc>
          <w:tcPr>
            <w:tcW w:type="dxa" w:w="1701"/>
          </w:tcPr>
          <w:p>
            <w:r/>
            <w:r>
              <w:rPr>
                <w:rFonts w:ascii="Times New Roman" w:hAnsi="Times New Roman"/>
                <w:sz w:val="19"/>
              </w:rPr>
              <w:t>FN (alergen lolos)</w:t>
            </w:r>
          </w:p>
        </w:tc>
      </w:tr>
      <w:tr>
        <w:tc>
          <w:tcPr>
            <w:tcW w:type="dxa" w:w="1304"/>
          </w:tcPr>
          <w:p>
            <w:r/>
            <w:r>
              <w:rPr>
                <w:rFonts w:ascii="Times New Roman" w:hAnsi="Times New Roman"/>
                <w:sz w:val="19"/>
              </w:rPr>
              <w:t>Himpunan beku</w:t>
            </w:r>
          </w:p>
        </w:tc>
        <w:tc>
          <w:tcPr>
            <w:tcW w:type="dxa" w:w="2835"/>
          </w:tcPr>
          <w:p>
            <w:r/>
            <w:r>
              <w:rPr>
                <w:rFonts w:ascii="Times New Roman" w:hAnsi="Times New Roman"/>
                <w:sz w:val="19"/>
              </w:rPr>
              <w:t>Udang, Sagu, Garam, Minyak Nabati</w:t>
            </w:r>
          </w:p>
        </w:tc>
        <w:tc>
          <w:tcPr>
            <w:tcW w:type="dxa" w:w="964"/>
          </w:tcPr>
          <w:p>
            <w:r/>
            <w:r>
              <w:rPr>
                <w:rFonts w:ascii="Times New Roman" w:hAnsi="Times New Roman"/>
                <w:sz w:val="19"/>
              </w:rPr>
              <w:t>safe</w:t>
            </w:r>
          </w:p>
        </w:tc>
        <w:tc>
          <w:tcPr>
            <w:tcW w:type="dxa" w:w="1077"/>
          </w:tcPr>
          <w:p>
            <w:r/>
            <w:r>
              <w:rPr>
                <w:rFonts w:ascii="Times New Roman" w:hAnsi="Times New Roman"/>
                <w:sz w:val="19"/>
              </w:rPr>
              <w:t>unsafe</w:t>
            </w:r>
          </w:p>
        </w:tc>
        <w:tc>
          <w:tcPr>
            <w:tcW w:type="dxa" w:w="1077"/>
          </w:tcPr>
          <w:p>
            <w:r/>
            <w:r>
              <w:rPr>
                <w:rFonts w:ascii="Times New Roman" w:hAnsi="Times New Roman"/>
                <w:sz w:val="19"/>
              </w:rPr>
              <w:t>0,981</w:t>
            </w:r>
          </w:p>
        </w:tc>
        <w:tc>
          <w:tcPr>
            <w:tcW w:type="dxa" w:w="1701"/>
          </w:tcPr>
          <w:p>
            <w:r/>
            <w:r>
              <w:rPr>
                <w:rFonts w:ascii="Times New Roman" w:hAnsi="Times New Roman"/>
                <w:sz w:val="19"/>
              </w:rPr>
              <w:t>FP (peringatan)</w:t>
            </w:r>
          </w:p>
        </w:tc>
      </w:tr>
      <w:tr>
        <w:tc>
          <w:tcPr>
            <w:tcW w:type="dxa" w:w="1304"/>
          </w:tcPr>
          <w:p>
            <w:r/>
            <w:r>
              <w:rPr>
                <w:rFonts w:ascii="Times New Roman" w:hAnsi="Times New Roman"/>
                <w:sz w:val="19"/>
              </w:rPr>
              <w:t>Himpunan beku</w:t>
            </w:r>
          </w:p>
        </w:tc>
        <w:tc>
          <w:tcPr>
            <w:tcW w:type="dxa" w:w="2835"/>
          </w:tcPr>
          <w:p>
            <w:r/>
            <w:r>
              <w:rPr>
                <w:rFonts w:ascii="Times New Roman" w:hAnsi="Times New Roman"/>
                <w:sz w:val="19"/>
              </w:rPr>
              <w:t>Jagung, Minyak Nabati, Garam(1%)</w:t>
            </w:r>
          </w:p>
        </w:tc>
        <w:tc>
          <w:tcPr>
            <w:tcW w:type="dxa" w:w="964"/>
          </w:tcPr>
          <w:p>
            <w:r/>
            <w:r>
              <w:rPr>
                <w:rFonts w:ascii="Times New Roman" w:hAnsi="Times New Roman"/>
                <w:sz w:val="19"/>
              </w:rPr>
              <w:t>safe</w:t>
            </w:r>
          </w:p>
        </w:tc>
        <w:tc>
          <w:tcPr>
            <w:tcW w:type="dxa" w:w="1077"/>
          </w:tcPr>
          <w:p>
            <w:r/>
            <w:r>
              <w:rPr>
                <w:rFonts w:ascii="Times New Roman" w:hAnsi="Times New Roman"/>
                <w:sz w:val="19"/>
              </w:rPr>
              <w:t>unsafe</w:t>
            </w:r>
          </w:p>
        </w:tc>
        <w:tc>
          <w:tcPr>
            <w:tcW w:type="dxa" w:w="1077"/>
          </w:tcPr>
          <w:p>
            <w:r/>
            <w:r>
              <w:rPr>
                <w:rFonts w:ascii="Times New Roman" w:hAnsi="Times New Roman"/>
                <w:sz w:val="19"/>
              </w:rPr>
              <w:t>0,522</w:t>
            </w:r>
          </w:p>
        </w:tc>
        <w:tc>
          <w:tcPr>
            <w:tcW w:type="dxa" w:w="1701"/>
          </w:tcPr>
          <w:p>
            <w:r/>
            <w:r>
              <w:rPr>
                <w:rFonts w:ascii="Times New Roman" w:hAnsi="Times New Roman"/>
                <w:sz w:val="19"/>
              </w:rPr>
              <w:t>FP (peringatan)</w:t>
            </w:r>
          </w:p>
        </w:tc>
      </w:tr>
    </w:tbl>
    <w:p>
      <w:pPr>
        <w:spacing w:after="40"/>
      </w:pPr>
    </w:p>
    <w:p>
      <w:pPr>
        <w:spacing w:before="80" w:after="160"/>
        <w:jc w:val="center"/>
      </w:pPr>
      <w:r>
        <w:rPr>
          <w:rFonts w:ascii="Times New Roman" w:hAnsi="Times New Roman"/>
          <w:b/>
          <w:sz w:val="20"/>
        </w:rPr>
        <w:t>Tabel 4.11. Analisis enam kesalahan klasifikasi IndoBERT (FN = negatif-palsu, FP = positif-palsu); kutipan teks disertakan agar tiap kasus dapat diidentifikasi kembali dari sumber data.</w:t>
      </w:r>
    </w:p>
    <w:p>
      <w:pPr>
        <w:spacing w:after="120" w:line="276" w:lineRule="auto"/>
      </w:pPr>
      <w:r>
        <w:rPr>
          <w:rFonts w:ascii="Times New Roman" w:hAnsi="Times New Roman"/>
          <w:sz w:val="24"/>
        </w:rPr>
        <w:t>Tiga negatif-palsu pada himpunan beku semuanya berada di sekitar ambang (probabilitas 0,246–0,391): “bihunku rasa ayam bawang” (0,391), “brook farm strawberry milk” (0,359), dan “brook farm fresh milk” (0,246). Ketiganya adalah teks panjang berisi bumbu dan perisa di mana penanda alergen tenggelam oleh konteks dominan — pola khas kesalahan dekat-ambang (</w:t>
      </w:r>
      <w:r>
        <w:rPr>
          <w:rFonts w:ascii="Times New Roman" w:hAnsi="Times New Roman"/>
          <w:b w:val="0"/>
          <w:i/>
          <w:sz w:val="24"/>
        </w:rPr>
        <w:t>near-threshold errors</w:t>
      </w:r>
      <w:r>
        <w:rPr>
          <w:rFonts w:ascii="Times New Roman" w:hAnsi="Times New Roman"/>
          <w:sz w:val="24"/>
        </w:rPr>
        <w:t>). Dua positif-palsu justru mengandung bukti tekstual eksplisit: “kemplang udang” (0,981; kata “udang” muncul dalam teks dan juga salah oleh BiLSTM) yang menandakan label acuan yang patut ditelaah ulang, serta “poco loco salted tortilla chips” (0,522) yang berada persis di tepi ambang. Satu-satunya negatif-palsu pada validasi, “butter salted” (0,100), juga lolos dari deteksi knowledge base berbasis aturan, yang mengindikasikan batas pengetahuan leksikal bersama yang dimiliki kedua pendekatan pada teks pendek dan minim penanda. Sesuai kontrak metodologi, keenam kasus ini hanya didiagnosis — tidak ada sampel himpunan beku yang ditambahkan ke latih dan tidak ada ambang yang disetel dari kesalahan ini.</w:t>
      </w:r>
    </w:p>
    <w:p>
      <w:pPr>
        <w:pStyle w:val="Heading3"/>
      </w:pPr>
      <w:r>
        <w:t>4.6.6  Kurva ROC dan Precision–Recall</w:t>
      </w:r>
    </w:p>
    <w:p>
      <w:pPr>
        <w:spacing w:after="120" w:line="276" w:lineRule="auto"/>
      </w:pPr>
      <w:r>
        <w:rPr>
          <w:rFonts w:ascii="Times New Roman" w:hAnsi="Times New Roman"/>
          <w:sz w:val="24"/>
        </w:rPr>
        <w:t xml:space="preserve">Kurva ROC (Gambar 4.9, kiri) menempatkan kedua himpunan di dekat sudut kiri-atas: ROC-AUC validasi 0,995 dan ROC-AUC himpunan beku 0,984, keduanya jauh di atas garis acakan 0,5. Dengan kata lain, model memberi skor lebih tinggi kepada sampel berbahaya dibanding sampel aman secara acak dengan probabilitas 98,4% pada himpunan beku. Kurva </w:t>
      </w:r>
      <w:r>
        <w:rPr>
          <w:rFonts w:ascii="Times New Roman" w:hAnsi="Times New Roman"/>
          <w:b w:val="0"/>
          <w:i/>
          <w:sz w:val="24"/>
        </w:rPr>
        <w:t>precision–recall</w:t>
      </w:r>
      <w:r>
        <w:rPr>
          <w:rFonts w:ascii="Times New Roman" w:hAnsi="Times New Roman"/>
          <w:sz w:val="24"/>
        </w:rPr>
        <w:t xml:space="preserve"> (Gambar 4.9, kanan) melengkapi gambaran tersebut: pada himpunan beku presisi bertahan di atas 0,88 hingga recall mendekati 0,88 (AP = 0,985), sehingga peningkatan recall melampaui titik tersebut hanya dapat dibayar dengan penurunan presisi yang tajam — batas operasi alami model pada ambang 0,5.</w:t>
      </w:r>
    </w:p>
    <w:p>
      <w:pPr>
        <w:jc w:val="center"/>
      </w:pPr>
      <w:r>
        <w:drawing>
          <wp:inline xmlns:a="http://schemas.openxmlformats.org/drawingml/2006/main" xmlns:pic="http://schemas.openxmlformats.org/drawingml/2006/picture">
            <wp:extent cx="5580000" cy="2368489"/>
            <wp:docPr id="6" name="Picture 6"/>
            <wp:cNvGraphicFramePr>
              <a:graphicFrameLocks noChangeAspect="1"/>
            </wp:cNvGraphicFramePr>
            <a:graphic>
              <a:graphicData uri="http://schemas.openxmlformats.org/drawingml/2006/picture">
                <pic:pic>
                  <pic:nvPicPr>
                    <pic:cNvPr id="0" name="bert_roc_pr.png"/>
                    <pic:cNvPicPr/>
                  </pic:nvPicPr>
                  <pic:blipFill>
                    <a:blip r:embed="rId14"/>
                    <a:stretch>
                      <a:fillRect/>
                    </a:stretch>
                  </pic:blipFill>
                  <pic:spPr>
                    <a:xfrm>
                      <a:off x="0" y="0"/>
                      <a:ext cx="5580000" cy="2368489"/>
                    </a:xfrm>
                    <a:prstGeom prst="rect"/>
                  </pic:spPr>
                </pic:pic>
              </a:graphicData>
            </a:graphic>
          </wp:inline>
        </w:drawing>
      </w:r>
    </w:p>
    <w:p>
      <w:pPr>
        <w:spacing w:before="80" w:after="160"/>
        <w:jc w:val="center"/>
      </w:pPr>
      <w:r>
        <w:rPr>
          <w:rFonts w:ascii="Times New Roman" w:hAnsi="Times New Roman"/>
          <w:b/>
          <w:sz w:val="20"/>
        </w:rPr>
        <w:t>Gambar 4.9. Kurva ROC (kiri) dan precision–recall (kanan) IndoBERT pada validasi dan himpunan beku.</w:t>
      </w:r>
    </w:p>
    <w:p>
      <w:pPr>
        <w:spacing w:after="120" w:line="276" w:lineRule="auto"/>
      </w:pPr>
      <w:r>
        <w:rPr>
          <w:rFonts w:ascii="Times New Roman" w:hAnsi="Times New Roman"/>
          <w:sz w:val="24"/>
        </w:rPr>
        <w:t>Agar penilaian kualitas peringkat tidak bergantung pada satu titik ambang, kualitas area di bawah kurva ROC dirumuskan sebagai integral berikut.</w:t>
      </w:r>
    </w:p>
    <w:p>
      <w:pPr>
        <w:jc w:val="center"/>
      </w:pPr>
      <w:r>
        <w:drawing>
          <wp:inline xmlns:a="http://schemas.openxmlformats.org/drawingml/2006/main" xmlns:pic="http://schemas.openxmlformats.org/drawingml/2006/picture">
            <wp:extent cx="4860000" cy="1189728"/>
            <wp:docPr id="7" name="Picture 7"/>
            <wp:cNvGraphicFramePr>
              <a:graphicFrameLocks noChangeAspect="1"/>
            </wp:cNvGraphicFramePr>
            <a:graphic>
              <a:graphicData uri="http://schemas.openxmlformats.org/drawingml/2006/picture">
                <pic:pic>
                  <pic:nvPicPr>
                    <pic:cNvPr id="0" name="bert_eq_auc.png"/>
                    <pic:cNvPicPr/>
                  </pic:nvPicPr>
                  <pic:blipFill>
                    <a:blip r:embed="rId15"/>
                    <a:stretch>
                      <a:fillRect/>
                    </a:stretch>
                  </pic:blipFill>
                  <pic:spPr>
                    <a:xfrm>
                      <a:off x="0" y="0"/>
                      <a:ext cx="4860000" cy="1189728"/>
                    </a:xfrm>
                    <a:prstGeom prst="rect"/>
                  </pic:spPr>
                </pic:pic>
              </a:graphicData>
            </a:graphic>
          </wp:inline>
        </w:drawing>
      </w:r>
    </w:p>
    <w:p>
      <w:pPr>
        <w:jc w:val="right"/>
      </w:pPr>
      <w:r>
        <w:rPr>
          <w:rFonts w:ascii="Times New Roman" w:hAnsi="Times New Roman"/>
          <w:sz w:val="24"/>
        </w:rPr>
        <w:t>(7)</w:t>
      </w:r>
    </w:p>
    <w:p>
      <w:pPr>
        <w:spacing w:after="120" w:line="276" w:lineRule="auto"/>
      </w:pPr>
      <w:r>
        <w:rPr>
          <w:rFonts w:ascii="Times New Roman" w:hAnsi="Times New Roman"/>
          <w:sz w:val="24"/>
        </w:rPr>
        <w:t>di mana TPR dan FPR masing-masing adalah laju positif dan laju negatif benar pada ambang yang diswept. Penalaran setara untuk kualitas presisi–recall memakai rata-rata presisi terumpan recall (Persamaan 4).</w:t>
      </w:r>
    </w:p>
    <w:p>
      <w:pPr>
        <w:pStyle w:val="Heading3"/>
      </w:pPr>
      <w:r>
        <w:t>4.6.7  Perbandingan dengan Word2Vec–BiLSTM</w:t>
      </w:r>
    </w:p>
    <w:p>
      <w:pPr>
        <w:spacing w:after="120" w:line="276" w:lineRule="auto"/>
      </w:pPr>
      <w:r>
        <w:rPr>
          <w:rFonts w:ascii="Times New Roman" w:hAnsi="Times New Roman"/>
          <w:sz w:val="24"/>
        </w:rPr>
        <w:t>Kedua model dilatih pada pool data, partisi, dan ambang yang identik, sehingga perbandingannya setara. Tabel 4.12 merangkum hasil pada himpunan beku.</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D9D9D9" w:val="clear"/>
          </w:tcPr>
          <w:p>
            <w:pPr>
              <w:jc w:val="center"/>
            </w:pPr>
            <w:r/>
            <w:r>
              <w:rPr>
                <w:rFonts w:ascii="Times New Roman" w:hAnsi="Times New Roman"/>
                <w:b/>
                <w:sz w:val="19"/>
              </w:rPr>
              <w:t>Metrik (himpunan beku)</w:t>
            </w:r>
          </w:p>
        </w:tc>
        <w:tc>
          <w:tcPr>
            <w:tcW w:type="dxa" w:w="3005"/>
            <w:shd w:fill="D9D9D9" w:val="clear"/>
          </w:tcPr>
          <w:p>
            <w:pPr>
              <w:jc w:val="center"/>
            </w:pPr>
            <w:r/>
            <w:r>
              <w:rPr>
                <w:rFonts w:ascii="Times New Roman" w:hAnsi="Times New Roman"/>
                <w:b/>
                <w:sz w:val="19"/>
              </w:rPr>
              <w:t>Word2Vec–BiLSTM [IK 95%]</w:t>
            </w:r>
          </w:p>
        </w:tc>
        <w:tc>
          <w:tcPr>
            <w:tcW w:type="dxa" w:w="3005"/>
            <w:shd w:fill="D9D9D9" w:val="clear"/>
          </w:tcPr>
          <w:p>
            <w:pPr>
              <w:jc w:val="center"/>
            </w:pPr>
            <w:r/>
            <w:r>
              <w:rPr>
                <w:rFonts w:ascii="Times New Roman" w:hAnsi="Times New Roman"/>
                <w:b/>
                <w:sz w:val="19"/>
              </w:rPr>
              <w:t>IndoBERT [IK 95%]</w:t>
            </w:r>
          </w:p>
        </w:tc>
      </w:tr>
      <w:tr>
        <w:tc>
          <w:tcPr>
            <w:tcW w:type="dxa" w:w="2835"/>
          </w:tcPr>
          <w:p>
            <w:r/>
            <w:r>
              <w:rPr>
                <w:rFonts w:ascii="Times New Roman" w:hAnsi="Times New Roman"/>
                <w:sz w:val="19"/>
              </w:rPr>
              <w:t>Accuracy</w:t>
            </w:r>
          </w:p>
        </w:tc>
        <w:tc>
          <w:tcPr>
            <w:tcW w:type="dxa" w:w="3005"/>
          </w:tcPr>
          <w:p>
            <w:r/>
            <w:r>
              <w:rPr>
                <w:rFonts w:ascii="Times New Roman" w:hAnsi="Times New Roman"/>
                <w:sz w:val="19"/>
              </w:rPr>
              <w:t>0,82</w:t>
            </w:r>
          </w:p>
        </w:tc>
        <w:tc>
          <w:tcPr>
            <w:tcW w:type="dxa" w:w="3005"/>
          </w:tcPr>
          <w:p>
            <w:r/>
            <w:r>
              <w:rPr>
                <w:rFonts w:ascii="Times New Roman" w:hAnsi="Times New Roman"/>
                <w:sz w:val="19"/>
              </w:rPr>
              <w:t>0,9</w:t>
            </w:r>
          </w:p>
        </w:tc>
      </w:tr>
      <w:tr>
        <w:tc>
          <w:tcPr>
            <w:tcW w:type="dxa" w:w="2835"/>
          </w:tcPr>
          <w:p>
            <w:r/>
            <w:r>
              <w:rPr>
                <w:rFonts w:ascii="Times New Roman" w:hAnsi="Times New Roman"/>
                <w:sz w:val="19"/>
              </w:rPr>
              <w:t>Precision</w:t>
            </w:r>
          </w:p>
        </w:tc>
        <w:tc>
          <w:tcPr>
            <w:tcW w:type="dxa" w:w="3005"/>
          </w:tcPr>
          <w:p>
            <w:r/>
            <w:r>
              <w:rPr>
                <w:rFonts w:ascii="Times New Roman" w:hAnsi="Times New Roman"/>
                <w:sz w:val="19"/>
              </w:rPr>
              <w:t>0,75</w:t>
            </w:r>
          </w:p>
        </w:tc>
        <w:tc>
          <w:tcPr>
            <w:tcW w:type="dxa" w:w="3005"/>
          </w:tcPr>
          <w:p>
            <w:r/>
            <w:r>
              <w:rPr>
                <w:rFonts w:ascii="Times New Roman" w:hAnsi="Times New Roman"/>
                <w:sz w:val="19"/>
              </w:rPr>
              <w:t>0,917</w:t>
            </w:r>
          </w:p>
        </w:tc>
      </w:tr>
      <w:tr>
        <w:tc>
          <w:tcPr>
            <w:tcW w:type="dxa" w:w="2835"/>
          </w:tcPr>
          <w:p>
            <w:r/>
            <w:r>
              <w:rPr>
                <w:rFonts w:ascii="Times New Roman" w:hAnsi="Times New Roman"/>
                <w:sz w:val="19"/>
              </w:rPr>
              <w:t>Recall</w:t>
            </w:r>
          </w:p>
        </w:tc>
        <w:tc>
          <w:tcPr>
            <w:tcW w:type="dxa" w:w="3005"/>
          </w:tcPr>
          <w:p>
            <w:r/>
            <w:r>
              <w:rPr>
                <w:rFonts w:ascii="Times New Roman" w:hAnsi="Times New Roman"/>
                <w:sz w:val="19"/>
              </w:rPr>
              <w:t>0,96</w:t>
            </w:r>
          </w:p>
        </w:tc>
        <w:tc>
          <w:tcPr>
            <w:tcW w:type="dxa" w:w="3005"/>
          </w:tcPr>
          <w:p>
            <w:r/>
            <w:r>
              <w:rPr>
                <w:rFonts w:ascii="Times New Roman" w:hAnsi="Times New Roman"/>
                <w:sz w:val="19"/>
              </w:rPr>
              <w:t>0,88</w:t>
            </w:r>
          </w:p>
        </w:tc>
      </w:tr>
      <w:tr>
        <w:tc>
          <w:tcPr>
            <w:tcW w:type="dxa" w:w="2835"/>
          </w:tcPr>
          <w:p>
            <w:r/>
            <w:r>
              <w:rPr>
                <w:rFonts w:ascii="Times New Roman" w:hAnsi="Times New Roman"/>
                <w:sz w:val="19"/>
              </w:rPr>
              <w:t>Skor-F1</w:t>
            </w:r>
          </w:p>
        </w:tc>
        <w:tc>
          <w:tcPr>
            <w:tcW w:type="dxa" w:w="3005"/>
          </w:tcPr>
          <w:p>
            <w:r/>
            <w:r>
              <w:rPr>
                <w:rFonts w:ascii="Times New Roman" w:hAnsi="Times New Roman"/>
                <w:sz w:val="19"/>
              </w:rPr>
              <w:t>0,842 0,845 [0,764–0,926]</w:t>
            </w:r>
          </w:p>
        </w:tc>
        <w:tc>
          <w:tcPr>
            <w:tcW w:type="dxa" w:w="3005"/>
          </w:tcPr>
          <w:p>
            <w:r/>
            <w:r>
              <w:rPr>
                <w:rFonts w:ascii="Times New Roman" w:hAnsi="Times New Roman"/>
                <w:sz w:val="19"/>
              </w:rPr>
              <w:t>0,898 0,899 [0,81–0,98]</w:t>
            </w:r>
          </w:p>
        </w:tc>
      </w:tr>
      <w:tr>
        <w:tc>
          <w:tcPr>
            <w:tcW w:type="dxa" w:w="2835"/>
          </w:tcPr>
          <w:p>
            <w:r/>
            <w:r>
              <w:rPr>
                <w:rFonts w:ascii="Times New Roman" w:hAnsi="Times New Roman"/>
                <w:sz w:val="19"/>
              </w:rPr>
              <w:t>ROC-AUC</w:t>
            </w:r>
          </w:p>
        </w:tc>
        <w:tc>
          <w:tcPr>
            <w:tcW w:type="dxa" w:w="3005"/>
          </w:tcPr>
          <w:p>
            <w:r/>
            <w:r>
              <w:rPr>
                <w:rFonts w:ascii="Times New Roman" w:hAnsi="Times New Roman"/>
                <w:sz w:val="19"/>
              </w:rPr>
              <w:t>0,907 0,91 [0,808–0,987]</w:t>
            </w:r>
          </w:p>
        </w:tc>
        <w:tc>
          <w:tcPr>
            <w:tcW w:type="dxa" w:w="3005"/>
          </w:tcPr>
          <w:p>
            <w:r/>
            <w:r>
              <w:rPr>
                <w:rFonts w:ascii="Times New Roman" w:hAnsi="Times New Roman"/>
                <w:sz w:val="19"/>
              </w:rPr>
              <w:t>0,984 0,984 [0,96–1]</w:t>
            </w:r>
          </w:p>
        </w:tc>
      </w:tr>
    </w:tbl>
    <w:p>
      <w:pPr>
        <w:spacing w:after="40"/>
      </w:pPr>
    </w:p>
    <w:p>
      <w:pPr>
        <w:spacing w:before="80" w:after="160"/>
        <w:jc w:val="center"/>
      </w:pPr>
      <w:r>
        <w:rPr>
          <w:rFonts w:ascii="Times New Roman" w:hAnsi="Times New Roman"/>
          <w:b/>
          <w:sz w:val="20"/>
        </w:rPr>
        <w:t>Tabel 4.12. Perbandingan kedua model pada himpunan beku (titik = metrik uji; [IK] = bootstrap 95%; metrik tanpa [IK] belum di-bootstrap pada tabel ini).</w:t>
      </w:r>
    </w:p>
    <w:p>
      <w:pPr>
        <w:spacing w:after="120" w:line="276" w:lineRule="auto"/>
      </w:pPr>
      <w:r>
        <w:rPr>
          <w:rFonts w:ascii="Times New Roman" w:hAnsi="Times New Roman"/>
          <w:sz w:val="24"/>
        </w:rPr>
        <w:t xml:space="preserve">Estimasi titik memihak IndoBERT pada hampir seluruh metrik, dengan satu pengecualian: recall himpunan beku dimenangkan BiLSTM. Keunggulan IndoBERT dapat ditelusuri pada dua keunggulan representasi. </w:t>
      </w:r>
      <w:r>
        <w:rPr>
          <w:rFonts w:ascii="Times New Roman" w:hAnsi="Times New Roman"/>
          <w:b/>
          <w:i w:val="0"/>
          <w:sz w:val="24"/>
        </w:rPr>
        <w:t>Pertama</w:t>
      </w:r>
      <w:r>
        <w:rPr>
          <w:rFonts w:ascii="Times New Roman" w:hAnsi="Times New Roman"/>
          <w:sz w:val="24"/>
        </w:rPr>
        <w:t xml:space="preserve">, tokenisasi subword menjadikannya kebal terhadap kata tak dikenal yang memengaruhi Word2Vec (tingkat OOV teks BiLSTM pada validasi dan himpunan beku masing-masing 3,96% dan 5,01%). </w:t>
      </w:r>
      <w:r>
        <w:rPr>
          <w:rFonts w:ascii="Times New Roman" w:hAnsi="Times New Roman"/>
          <w:b/>
          <w:i w:val="0"/>
          <w:sz w:val="24"/>
        </w:rPr>
        <w:t>Kedua</w:t>
      </w:r>
      <w:r>
        <w:rPr>
          <w:rFonts w:ascii="Times New Roman" w:hAnsi="Times New Roman"/>
          <w:sz w:val="24"/>
        </w:rPr>
        <w:t>, representasi kontekstual dua arah melalui mekanisme attention memungkinkan model memahami peran kata dalam kalimat panjang bertanda baca, bukan sekadar kehadiran leksikon.</w:t>
      </w:r>
    </w:p>
    <w:p>
      <w:pPr>
        <w:spacing w:after="120" w:line="276" w:lineRule="auto"/>
      </w:pPr>
      <w:r>
        <w:rPr>
          <w:rFonts w:ascii="Times New Roman" w:hAnsi="Times New Roman"/>
          <w:sz w:val="24"/>
        </w:rPr>
        <w:t>Namun demikian, interval kepercayaan F1 kedua model pada himpunan beku bertumpang tindih (BiLSTM 0,845 [0,764–0,926] vs IndoBERT 0,899 [0,81–0,98]); keunggulan IndoBERT karena itu signifikan pada estimasi titik dan ROC-AUC, tetapi belum terbukti secara statistik pada ukuran himpunan n = 50. Klaim superioritas mutlak memerlukan himpunan uji yang lebih besar — keterbatasan yang diakui pada Sub-bab 4.6.8. Dari sisi biaya, keunggulan akurasi IndoBERT dibayar dengan komputasi yang jauh lebih besar (bobot sekitar 125 juta parameter dan arsip model sekitar 475 MB, dibanding model rekuren berukuran beberapa megabyte), sehingga pemilihan di produksi bergantung pada trade-off akurasi–latensi–biaya; arsitektur ensemble berbobot 0,4/0,6 telah tersedia dan menggabungkan keunggulan kedua model.</w:t>
      </w:r>
    </w:p>
    <w:p>
      <w:pPr>
        <w:pStyle w:val="Heading3"/>
      </w:pPr>
      <w:r>
        <w:t>4.6.8  Keterbatasan dan Arah Penelitian Lanjut</w:t>
      </w:r>
    </w:p>
    <w:p>
      <w:pPr>
        <w:spacing w:after="120" w:line="276" w:lineRule="auto"/>
      </w:pPr>
      <w:r>
        <w:rPr>
          <w:rFonts w:ascii="Times New Roman" w:hAnsi="Times New Roman"/>
          <w:sz w:val="24"/>
        </w:rPr>
        <w:t>Empat keterbatasan diakui terbuka dalam penelitian ini.</w:t>
      </w:r>
    </w:p>
    <w:p>
      <w:pPr>
        <w:pStyle w:val="ListBullet"/>
        <w:jc w:val="both"/>
      </w:pPr>
      <w:r>
        <w:rPr>
          <w:rFonts w:ascii="Times New Roman" w:hAnsi="Times New Roman"/>
          <w:b/>
          <w:sz w:val="24"/>
        </w:rPr>
        <w:t>Ukuran himpunan.</w:t>
      </w:r>
      <w:r>
        <w:rPr>
          <w:rFonts w:ascii="Times New Roman" w:hAnsi="Times New Roman"/>
          <w:b/>
          <w:sz w:val="24"/>
        </w:rPr>
        <w:t xml:space="preserve"> </w:t>
      </w:r>
    </w:p>
    <w:p>
      <w:pPr>
        <w:pStyle w:val="ListBullet"/>
        <w:jc w:val="both"/>
      </w:pPr>
      <w:r>
        <w:rPr>
          <w:rFonts w:ascii="Times New Roman" w:hAnsi="Times New Roman"/>
          <w:b/>
          <w:sz w:val="24"/>
        </w:rPr>
        <w:t>Recall kelas tidak aman.</w:t>
      </w:r>
      <w:r>
        <w:rPr>
          <w:rFonts w:ascii="Times New Roman" w:hAnsi="Times New Roman"/>
          <w:b/>
          <w:sz w:val="24"/>
        </w:rPr>
        <w:t xml:space="preserve"> </w:t>
      </w:r>
    </w:p>
    <w:p>
      <w:pPr>
        <w:pStyle w:val="ListBullet"/>
        <w:jc w:val="both"/>
      </w:pPr>
      <w:r>
        <w:rPr>
          <w:rFonts w:ascii="Times New Roman" w:hAnsi="Times New Roman"/>
          <w:b/>
          <w:sz w:val="24"/>
        </w:rPr>
        <w:t>Kontribusi data sintetik belum diablasikan.</w:t>
      </w:r>
      <w:r>
        <w:rPr>
          <w:rFonts w:ascii="Times New Roman" w:hAnsi="Times New Roman"/>
          <w:b/>
          <w:sz w:val="24"/>
        </w:rPr>
        <w:t xml:space="preserve"> </w:t>
      </w:r>
    </w:p>
    <w:p>
      <w:pPr>
        <w:pStyle w:val="ListBullet"/>
        <w:jc w:val="both"/>
      </w:pPr>
      <w:r>
        <w:rPr>
          <w:rFonts w:ascii="Times New Roman" w:hAnsi="Times New Roman"/>
          <w:b/>
          <w:sz w:val="24"/>
        </w:rPr>
        <w:t>Satu benih.</w:t>
      </w:r>
      <w:r>
        <w:rPr>
          <w:rFonts w:ascii="Times New Roman" w:hAnsi="Times New Roman"/>
          <w:b/>
          <w:sz w:val="24"/>
        </w:rPr>
        <w:t xml:space="preserve">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