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Тематика диссертационного исследования Метод биофизического моделирования вызванных составных потенциалов действия при стимуляции спинного мозга с предобучением динамического представления на коннектомной модели Drosophila melanogaster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Название и выходные данные статьи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Evoked potentials recorded from the spinal cord during neurostimulation for pain : a computational modeling study / C. J. Anaya, H. J. Zander, R. D. Graham [и др.]. — DOI 10.1111/ner.12965. — Текст : электронный // Neuromodulation: Technology at the Neural Interface. — 2020. — Vol. 23, no. 1. — P. 64–73. — URL: https://pmc.ncbi.nlm.nih.gov/articles/PMC6920600/ (дата обращения: 25.09.2026).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 статьи</w:t>
      </w:r>
    </w:p>
    <w:p w14:paraId="10000001">
      <w:pPr>
        <w:rPr/>
      </w:pPr>
      <w:r>
        <w:rPr>
          <w:rtl w:val="0"/>
        </w:rPr>
        <w:t xml:space="preserve">1. Неясность происхождения вызванных составных потенциалов действия (ECAP) при замкнутой стимуляции спинного мозга.</w:t>
      </w:r>
    </w:p>
    <w:p w14:paraId="10000002">
      <w:pPr>
        <w:ind w:left="567"/>
        <w:rPr/>
      </w:pPr>
      <w:r>
        <w:rPr>
          <w:rtl w:val="0"/>
        </w:rPr>
        <w:t xml:space="preserve">1.1. Стимуляция с неизменными параметрами и идея обратной связи по ECAP.</w:t>
      </w:r>
    </w:p>
    <w:p w14:paraId="10000003">
      <w:pPr>
        <w:ind w:left="567"/>
        <w:rPr/>
      </w:pPr>
      <w:r>
        <w:rPr>
          <w:rtl w:val="0"/>
        </w:rPr>
        <w:t xml:space="preserve">1.2. Цель исследования и гипотезы о факторах, определяющих состав ECAP.</w:t>
      </w:r>
    </w:p>
    <w:p w14:paraId="10000004">
      <w:pPr>
        <w:rPr/>
      </w:pPr>
      <w:r>
        <w:rPr>
          <w:rtl w:val="0"/>
        </w:rPr>
        <w:t xml:space="preserve">2. Вычислительная модель регистрации ECAP.</w:t>
      </w:r>
    </w:p>
    <w:p w14:paraId="10000005">
      <w:pPr>
        <w:ind w:left="567"/>
        <w:rPr/>
      </w:pPr>
      <w:r>
        <w:rPr>
          <w:rtl w:val="0"/>
        </w:rPr>
        <w:t xml:space="preserve">2.1. Конечно-элементная модель позвоночника и спинного мозга с имплантированным электродом.</w:t>
      </w:r>
    </w:p>
    <w:p w14:paraId="10000006">
      <w:pPr>
        <w:ind w:left="567"/>
        <w:rPr/>
      </w:pPr>
      <w:r>
        <w:rPr>
          <w:rtl w:val="0"/>
        </w:rPr>
        <w:t xml:space="preserve">2.2. Многокомпартментные модели сенсорных аксонов дорсальных столбов.</w:t>
      </w:r>
    </w:p>
    <w:p w14:paraId="10000007">
      <w:pPr>
        <w:ind w:left="567"/>
        <w:rPr/>
      </w:pPr>
      <w:r>
        <w:rPr>
          <w:rtl w:val="0"/>
        </w:rPr>
        <w:t xml:space="preserve">2.3. Расчёт ECAP по теореме взаимности и показатели оценки сигнала.</w:t>
      </w:r>
    </w:p>
    <w:p w14:paraId="10000008">
      <w:pPr>
        <w:rPr/>
      </w:pPr>
      <w:r>
        <w:rPr>
          <w:rtl w:val="0"/>
        </w:rPr>
        <w:t xml:space="preserve">3. Сопоставление модельного ECAP с клиническими записями как проверка модели.</w:t>
      </w:r>
    </w:p>
    <w:p w14:paraId="10000009">
      <w:pPr>
        <w:ind w:left="567"/>
        <w:rPr/>
      </w:pPr>
      <w:r>
        <w:rPr>
          <w:rtl w:val="0"/>
        </w:rPr>
        <w:t xml:space="preserve">3.1. Форма и амплитуда сигнала при пороге дискомфорта.</w:t>
      </w:r>
    </w:p>
    <w:p w14:paraId="1000000A">
      <w:pPr>
        <w:ind w:left="567"/>
        <w:rPr/>
      </w:pPr>
      <w:r>
        <w:rPr>
          <w:rtl w:val="0"/>
        </w:rPr>
        <w:t xml:space="preserve">3.2. Зависимость амплитуды и скорости проведения от силы тока.</w:t>
      </w:r>
    </w:p>
    <w:p w14:paraId="1000000B">
      <w:pPr>
        <w:rPr/>
      </w:pPr>
      <w:r>
        <w:rPr>
          <w:rtl w:val="0"/>
        </w:rPr>
        <w:t xml:space="preserve">4. Вклад волокон разного диаметра в формирование ECAP.</w:t>
      </w:r>
    </w:p>
    <w:p w14:paraId="1000000C">
      <w:pPr>
        <w:ind w:left="567"/>
        <w:rPr/>
      </w:pPr>
      <w:r>
        <w:rPr>
          <w:rtl w:val="0"/>
        </w:rPr>
        <w:t xml:space="preserve">4.1. Оценка вклада групп волокон по изменению амплитуды при их исключении из расчёта.</w:t>
      </w:r>
    </w:p>
    <w:p w14:paraId="1000000D">
      <w:pPr>
        <w:ind w:left="567"/>
        <w:rPr/>
      </w:pPr>
      <w:r>
        <w:rPr>
          <w:rtl w:val="0"/>
        </w:rPr>
        <w:t xml:space="preserve">4.2. Связь состава сигнала с клинически эффективной стимуляцией.</w:t>
      </w:r>
    </w:p>
    <w:p w14:paraId="1000000E">
      <w:pPr>
        <w:rPr/>
      </w:pPr>
      <w:r>
        <w:rPr>
          <w:rtl w:val="0"/>
        </w:rPr>
        <w:t xml:space="preserve">5. Влияние положения электрода и спинного мозга на ECAP.</w:t>
      </w:r>
    </w:p>
    <w:p w14:paraId="1000000F">
      <w:pPr>
        <w:ind w:left="567"/>
        <w:rPr/>
      </w:pPr>
      <w:r>
        <w:rPr>
          <w:rtl w:val="0"/>
        </w:rPr>
        <w:t xml:space="preserve">5.1. Положение регистрирующего контакта относительно дуги позвонка.</w:t>
      </w:r>
    </w:p>
    <w:p w14:paraId="10000010">
      <w:pPr>
        <w:ind w:left="567"/>
        <w:rPr/>
      </w:pPr>
      <w:r>
        <w:rPr>
          <w:rtl w:val="0"/>
        </w:rPr>
        <w:t xml:space="preserve">5.2. Боковое смещение электрода.</w:t>
      </w:r>
    </w:p>
    <w:p w14:paraId="10000011">
      <w:pPr>
        <w:ind w:left="567"/>
        <w:rPr/>
      </w:pPr>
      <w:r>
        <w:rPr>
          <w:rtl w:val="0"/>
        </w:rPr>
        <w:t xml:space="preserve">5.3. Толщина дорсального слоя спинномозговой жидкости.</w:t>
      </w:r>
    </w:p>
    <w:p w14:paraId="10000012">
      <w:pPr>
        <w:rPr/>
      </w:pPr>
      <w:r>
        <w:rPr>
          <w:rtl w:val="0"/>
        </w:rPr>
        <w:t xml:space="preserve">6. Допущения модели и значение результатов для замкнутой стимуляции.</w:t>
      </w:r>
    </w:p>
    <w:p w14:paraId="10000013">
      <w:pPr>
        <w:ind w:left="567"/>
        <w:rPr/>
      </w:pPr>
      <w:r>
        <w:rPr>
          <w:rtl w:val="0"/>
        </w:rPr>
        <w:t xml:space="preserve">6.1. Упрощения в описании волокон, порогов и анатомии.</w:t>
      </w:r>
    </w:p>
    <w:p w14:paraId="10000014">
      <w:pPr>
        <w:ind w:left="567"/>
        <w:rPr/>
      </w:pPr>
      <w:r>
        <w:rPr>
          <w:rtl w:val="0"/>
        </w:rPr>
        <w:t xml:space="preserve">6.2. Учёт расстояния между электродом и спинным мозгом в алгоритмах управления.</w:t>
      </w:r>
    </w:p>
    <w:p w14:paraId="1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Тезисы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дать ту же нумерацию, что и в плане</w:t>
      </w:r>
      <w:r w:rsidDel="00000000" w:rsidR="00000000" w:rsidRPr="00000000">
        <w:rPr>
          <w:rtl w:val="0"/>
        </w:rPr>
        <w:t xml:space="preserve">)</w:t>
      </w:r>
    </w:p>
    <w:p w14:paraId="10000101">
      <w:pPr>
        <w:rPr/>
      </w:pPr>
      <w:r>
        <w:rPr>
          <w:rtl w:val="0"/>
        </w:rPr>
        <w:t xml:space="preserve">1. Замкнутая стимуляция спинного мозга с обратной связью по вызванным составным потенциалам действия (ECAP) может повысить эффективность лечения хронической боли, однако происхождение этого сигнала и влияющие на него факторы изучены недостаточно.</w:t>
      </w:r>
    </w:p>
    <w:p w14:paraId="10000102">
      <w:pPr>
        <w:ind w:left="567"/>
        <w:rPr/>
      </w:pPr>
      <w:r>
        <w:rPr>
          <w:rtl w:val="0"/>
        </w:rPr>
        <w:t xml:space="preserve">1.1. Стимуляция с практически неизменными параметрами снижает боль не менее чем на 50 % лишь примерно у 58 % пациентов. В замкнутом контуре амплитуда ECAP, записанная неактивными контактами того же электрода, служит сигналом для подстройки стимуляции; в предварительном клиническом исследовании такое снижение боли получено не менее чем у 80 % пациентов.</w:t>
      </w:r>
    </w:p>
    <w:p w14:paraId="10000103">
      <w:pPr>
        <w:ind w:left="567"/>
        <w:rPr/>
      </w:pPr>
      <w:r>
        <w:rPr>
          <w:rtl w:val="0"/>
        </w:rPr>
        <w:t xml:space="preserve">1.2. Цель работы — с помощью вычислительной модели установить источник ECAP и факторы, определяющие его состав. Проверялись гипотезы о том, что свойства сигнала задаёт распределение диаметров волокон дорсальных столбов, а его амплитуду и форму — положение электрода и толщина слоя спинномозговой жидкости.</w:t>
      </w:r>
    </w:p>
    <w:p w14:paraId="10000104">
      <w:pPr>
        <w:rPr/>
      </w:pPr>
      <w:r>
        <w:rPr>
          <w:rtl w:val="0"/>
        </w:rPr>
        <w:t xml:space="preserve">2. ECAP рассчитывается сопряжением конечно-элементной модели объёмного проводника с многокомпартментными моделями сенсорных аксонов.</w:t>
      </w:r>
    </w:p>
    <w:p w14:paraId="10000105">
      <w:pPr>
        <w:ind w:left="567"/>
        <w:rPr/>
      </w:pPr>
      <w:r>
        <w:rPr>
          <w:rtl w:val="0"/>
        </w:rPr>
        <w:t xml:space="preserve">2.1. Электрическое поле стимуляции рассчитывается в анатомически детализированной модели нижнегрудного отдела с позвонками, твёрдой мозговой оболочкой, спинномозговой жидкостью и капсулой рубцовой ткани вокруг восьмиконтактного электрода; проводимость капсулы подобрана так, чтобы средний импеданс электрода (359 Ом) соответствовал клиническому.</w:t>
      </w:r>
    </w:p>
    <w:p w14:paraId="10000106">
      <w:pPr>
        <w:ind w:left="567"/>
        <w:rPr/>
      </w:pPr>
      <w:r>
        <w:rPr>
          <w:rtl w:val="0"/>
        </w:rPr>
        <w:t xml:space="preserve">2.2. Модели аксонов воспроизводят скорость проведения и форму потенциала действия сенсорных волокон; диаметры 5,7–16,0 мкм и их плотность заданы по гистологическим данным спинного мозга человека, а отклик на импульсы 1–10 мА (50 Гц, 210 мкс) рассчитан в программе NEURON.</w:t>
      </w:r>
    </w:p>
    <w:p w14:paraId="10000107">
      <w:pPr>
        <w:ind w:left="567"/>
        <w:rPr/>
      </w:pPr>
      <w:r>
        <w:rPr>
          <w:rtl w:val="0"/>
        </w:rPr>
        <w:t xml:space="preserve">2.3. Сигнал на регистрирующих контактах вычисляется по теореме взаимности, записывается биполярно и фильтруется фильтром нижних частот 7,5 кГц, как в экспериментальных записях. Оцениваются амплитуда P2–N1 (между пиками N1 и P2), ширина пика N1 на полувысоте и скорость проведения; порог ощущения соответствует активации не менее 10 % волокон, порог дискомфорта — 1,4 порога ощущения.</w:t>
      </w:r>
    </w:p>
    <w:p w14:paraId="10000108">
      <w:pPr>
        <w:rPr/>
      </w:pPr>
      <w:r>
        <w:rPr>
          <w:rtl w:val="0"/>
        </w:rPr>
        <w:t xml:space="preserve">3. Сопоставление с клиническими записями показывает, что модель воспроизводит ряд свойств реального ECAP.</w:t>
      </w:r>
    </w:p>
    <w:p w14:paraId="10000109">
      <w:pPr>
        <w:ind w:left="567"/>
        <w:rPr/>
      </w:pPr>
      <w:r>
        <w:rPr>
          <w:rtl w:val="0"/>
        </w:rPr>
        <w:t xml:space="preserve">3.1. При пороге дискомфорта (8 мА) модельный ECAP имеет трёхфазную форму P1–N1–P2 и амплитуду P2–N1 216 мкВ против 200 мкВ в клинической записи при близкой латентности пика N1.</w:t>
      </w:r>
    </w:p>
    <w:p w14:paraId="1000010A">
      <w:pPr>
        <w:ind w:left="567"/>
        <w:rPr/>
      </w:pPr>
      <w:r>
        <w:rPr>
          <w:rtl w:val="0"/>
        </w:rPr>
        <w:t xml:space="preserve">3.2. Амплитуда P2–N1 растёт линейно с силой тока в диапазоне 1–10 мА, а скорость проведения в терапевтическом окне 6–8 мА почти постоянна: от 47 до 59 м/с в модели против 49–65 м/с в клинике.</w:t>
      </w:r>
    </w:p>
    <w:p w14:paraId="1000010B">
      <w:pPr>
        <w:rPr/>
      </w:pPr>
      <w:r>
        <w:rPr>
          <w:rtl w:val="0"/>
        </w:rPr>
        <w:t xml:space="preserve">4. Сигнал формируют главным образом волокна узкого диапазона диаметров.</w:t>
      </w:r>
    </w:p>
    <w:p w14:paraId="1000010C">
      <w:pPr>
        <w:ind w:left="567"/>
        <w:rPr/>
      </w:pPr>
      <w:r>
        <w:rPr>
          <w:rtl w:val="0"/>
        </w:rPr>
        <w:t xml:space="preserve">4.1. Исключение волокон диаметром 8,7 и 10,0 мкм уменьшает амплитуду ECAP при пороге ощущения на 35,0 и 30,6 % соответственно, тогда как исключение всех волокон диаметром 12,8 мкм и более — лишь на 4,5 %.</w:t>
      </w:r>
    </w:p>
    <w:p w14:paraId="1000010D">
      <w:pPr>
        <w:ind w:left="567"/>
        <w:rPr/>
      </w:pPr>
      <w:r>
        <w:rPr>
          <w:rtl w:val="0"/>
        </w:rPr>
        <w:t xml:space="preserve">4.2. Поскольку амплитуда ECAP в клинике коррелирует с покрытием болевой зоны парестезией, клинически эффективная стимуляция, вероятнее всего, активирует волокна дорсальных столбов диаметром 8,7 мкм и более.</w:t>
      </w:r>
    </w:p>
    <w:p w14:paraId="1000010E">
      <w:pPr>
        <w:rPr/>
      </w:pPr>
      <w:r>
        <w:rPr>
          <w:rtl w:val="0"/>
        </w:rPr>
        <w:t xml:space="preserve">5. Амплитуда и форма ECAP зависят от положения электрода относительно позвоночника и спинного мозга.</w:t>
      </w:r>
    </w:p>
    <w:p w14:paraId="1000010F">
      <w:pPr>
        <w:ind w:left="567"/>
        <w:rPr/>
      </w:pPr>
      <w:r>
        <w:rPr>
          <w:rtl w:val="0"/>
        </w:rPr>
        <w:t xml:space="preserve">5.1. Регистрирующий контакт под дугой позвонка даёт большую амплитуду ECAP, чем контакт между дугами, при практически неизменной форме сигнала.</w:t>
      </w:r>
    </w:p>
    <w:p w14:paraId="10000110">
      <w:pPr>
        <w:ind w:left="567"/>
        <w:rPr/>
      </w:pPr>
      <w:r>
        <w:rPr>
          <w:rtl w:val="0"/>
        </w:rPr>
        <w:t xml:space="preserve">5.2. Смещение электрода на 2 мм от средней линии почти не меняет амплитуду и форму ECAP.</w:t>
      </w:r>
    </w:p>
    <w:p w14:paraId="10000111">
      <w:pPr>
        <w:ind w:left="567"/>
        <w:rPr/>
      </w:pPr>
      <w:r>
        <w:rPr>
          <w:rtl w:val="0"/>
        </w:rPr>
        <w:t xml:space="preserve">5.3. Утолщение дорсального слоя спинномозговой жидкости с 2,0 до 4,4 мм повышает порог ощущения с 4 до 9 мА, уменьшает амплитуду ECAP и сглаживает пик P2; при одинаковой нейронной активности эти изменения сохраняются, следовательно, их вызывает в основном расстояние до электрода.</w:t>
      </w:r>
    </w:p>
    <w:p w14:paraId="10000112">
      <w:pPr>
        <w:rPr/>
      </w:pPr>
      <w:r>
        <w:rPr>
          <w:rtl w:val="0"/>
        </w:rPr>
        <w:t xml:space="preserve">6. Несмотря на допущения канонической модели, результаты существенны для замкнутой стимуляции.</w:t>
      </w:r>
    </w:p>
    <w:p w14:paraId="10000113">
      <w:pPr>
        <w:ind w:left="567"/>
        <w:rPr/>
      </w:pPr>
      <w:r>
        <w:rPr>
          <w:rtl w:val="0"/>
        </w:rPr>
        <w:t xml:space="preserve">6.1. Модель использует дискретные диаметры волокон, не включает нейроны заднего рога, задаёт пороги условно и не учитывает различия анатомии и положения электрода между пациентами.</w:t>
      </w:r>
    </w:p>
    <w:p w14:paraId="10000114">
      <w:pPr>
        <w:ind w:left="567"/>
        <w:rPr/>
      </w:pPr>
      <w:r>
        <w:rPr>
          <w:rtl w:val="0"/>
        </w:rPr>
        <w:t xml:space="preserve">6.2. Амплитуда ECAP может меняться только из-за изменения расстояния между электродом и спинным мозгом при неизменной активации волокон, поэтому алгоритмы замкнутой стимуляции должны учитывать этот эффект.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