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定位</w:t>
      </w:r>
      <w:r>
        <w:rPr>
          <w:rFonts w:hint="eastAsia"/>
          <w:sz w:val="24"/>
          <w:szCs w:val="32"/>
          <w:lang w:val="en-US" w:eastAsia="zh-CN"/>
        </w:rPr>
        <w:t>：为在校大学生和老师提供学习与交流的平台，便利同学与老师的生活，提供交流平台，增加学生学习渠道。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商业机会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1.主要目标用户为大学生和老师，消费群体具有稳定性与确定性，且人数众多，有一定的消费规模。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2.用户需求具有确定性与不易变动性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3.市面上此类平台尚不算多，可提前占有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市场。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82B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2019-03-14T13:36:07Z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