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68228">
      <w:pPr>
        <w:pStyle w:val="2"/>
        <w:jc w:val="center"/>
      </w:pPr>
      <w:r>
        <w:rPr>
          <w:rFonts w:ascii="Times New Roman" w:hAnsi="Times New Roman" w:eastAsia="宋体" w:cs="Times New Roman"/>
          <w:sz w:val="24"/>
          <w:szCs w:val="24"/>
        </w:rPr>
        <w:t>申报方案书 —— 城市主城区企业主体信息数据集</w:t>
      </w:r>
    </w:p>
    <w:p w14:paraId="4FB74F18">
      <w:pPr>
        <w:pStyle w:val="3"/>
      </w:pPr>
      <w:r>
        <w:rPr>
          <w:rFonts w:ascii="Times New Roman" w:hAnsi="Times New Roman" w:eastAsia="宋体" w:cs="Times New Roman"/>
          <w:sz w:val="24"/>
          <w:szCs w:val="24"/>
        </w:rPr>
        <w:t>（一）应用场景描述</w:t>
      </w:r>
    </w:p>
    <w:p w14:paraId="76C8B043">
      <w:pPr>
        <w:spacing w:before="60" w:after="140" w:line="360" w:lineRule="auto"/>
        <w:ind w:firstLine="480" w:firstLineChars="200"/>
        <w:jc w:val="left"/>
      </w:pPr>
      <w:r>
        <w:rPr>
          <w:rFonts w:ascii="Times New Roman" w:hAnsi="Times New Roman" w:eastAsia="宋体" w:cs="Times New Roman"/>
          <w:sz w:val="24"/>
          <w:szCs w:val="24"/>
        </w:rPr>
        <w:t>为满足城市治理对主体基础数据的高质量、可追溯需求，本项目拟建设覆盖城市主城区的“企业（机构）主体信息数据集”。该数据集以统一社会信用代码与标准化企业名称为主索引，集成住所/经营场所/驻在场所、市场主体类型、成立日期、登记机关、经营范围、注册资本金、实收资本等关键属性，并通过地址标准化与地理编码服务，实现空间要素与主体属性的一体化关联。项目目标是构建一个政务可信、可审计、可对接的主体基础库，成为支撑市场监管、城市管理、应急处置、招商引资、公共服务和金融合规等场景的底层要素。</w:t>
      </w:r>
    </w:p>
    <w:p w14:paraId="553C193E">
      <w:pPr>
        <w:spacing w:before="60" w:after="140" w:line="360" w:lineRule="auto"/>
        <w:ind w:firstLine="480" w:firstLineChars="200"/>
        <w:jc w:val="left"/>
      </w:pPr>
      <w:r>
        <w:rPr>
          <w:rFonts w:ascii="Times New Roman" w:hAnsi="Times New Roman" w:eastAsia="宋体" w:cs="Times New Roman"/>
          <w:sz w:val="24"/>
          <w:szCs w:val="24"/>
        </w:rPr>
        <w:t>在典型业务流程中，监管部门可通过该数据集实现对辖区内企业的快速定位与信息核验，减少现场核查与重复办事带来的时间与人力成本；在应急响应场景中，依据企业地理位置与行业属性实现风险快速筛查与资源调配。在经济管理与招商引资层面，可基于注册资本、成立年份、经营范围等维度制作产业分布与企业成长曲线，辅助政策制定与精准扶持。此外，金融机构与SaaS服务商可对接本库实现合规尽职调查与业务准入校验，显著提升市场主体信用识别与交易效率。</w:t>
      </w:r>
    </w:p>
    <w:p w14:paraId="73386EDF">
      <w:pPr>
        <w:spacing w:before="60" w:after="140" w:line="360" w:lineRule="auto"/>
        <w:ind w:firstLine="480" w:firstLineChars="200"/>
        <w:jc w:val="left"/>
      </w:pPr>
      <w:r>
        <w:rPr>
          <w:rFonts w:ascii="Times New Roman" w:hAnsi="Times New Roman" w:eastAsia="宋体" w:cs="Times New Roman"/>
          <w:sz w:val="24"/>
          <w:szCs w:val="24"/>
        </w:rPr>
        <w:t>为保障可落地性，项目设计采用“政务源为主、第三方校验为辅”的多源采集策略：通过对接工商登记、公示系统、税务与行政许可等官方接口获取权威字段，同时引入高质量邮政/地图地址库与企业年报数据进行补充。数据加工链路包含字段标准化、地址解析与地理编码、多源去重与主索引构造、营运范围语义化处理与可信度打分。系统提供API、批量导出、可视化看板与事件订阅等多种对外形态，支持权限控制与审计链路，确保在实际政务与商业应用中可直接部署并稳定运行。</w:t>
      </w:r>
    </w:p>
    <w:p w14:paraId="7B9B73D3">
      <w:pPr>
        <w:pStyle w:val="3"/>
      </w:pPr>
      <w:r>
        <w:rPr>
          <w:rFonts w:ascii="Times New Roman" w:hAnsi="Times New Roman" w:eastAsia="宋体" w:cs="Times New Roman"/>
          <w:sz w:val="24"/>
          <w:szCs w:val="24"/>
        </w:rPr>
        <w:t>（二）市场需求理解</w:t>
      </w:r>
    </w:p>
    <w:p w14:paraId="12A6AF1C">
      <w:pPr>
        <w:spacing w:before="60" w:after="140" w:line="360" w:lineRule="auto"/>
        <w:ind w:firstLine="480" w:firstLineChars="200"/>
        <w:jc w:val="left"/>
      </w:pPr>
      <w:r>
        <w:rPr>
          <w:rFonts w:ascii="Times New Roman" w:hAnsi="Times New Roman" w:eastAsia="宋体" w:cs="Times New Roman"/>
          <w:sz w:val="24"/>
          <w:szCs w:val="24"/>
        </w:rPr>
        <w:t>城市治理中的主体识别与信息共享长期存在“口径不统一、来源分散、更新不及时”的问题，直接影响监管效率、应急响应速度与公共服务质量。本项目面向两类主要用户群体：一是政府职能部门（市场监管、城市管理、应急、招商、税务等），二是商业与服务类机构（金融、征信、法务合规、行业SaaS）。政府端核心需求为统一可信的主体基础库、支持跨部门联查的标准化接口、并具备审计与变更追溯能力；商业端需求则侧重于接口可用性、数据质量（准确率、覆盖率、更新时间）及合规使用的法律证明材料。</w:t>
      </w:r>
    </w:p>
    <w:p w14:paraId="118C30B2">
      <w:pPr>
        <w:spacing w:before="60" w:after="140" w:line="360" w:lineRule="auto"/>
        <w:ind w:firstLine="480" w:firstLineChars="200"/>
        <w:jc w:val="left"/>
      </w:pPr>
      <w:r>
        <w:rPr>
          <w:rFonts w:ascii="Times New Roman" w:hAnsi="Times New Roman" w:eastAsia="宋体" w:cs="Times New Roman"/>
          <w:sz w:val="24"/>
          <w:szCs w:val="24"/>
        </w:rPr>
        <w:t>从业务价值看，市场监管部门需要依托主体库实现高频次、低成本的线上预审与风险筛查；应急管理则需要以企业地理位置和行业暴露度为判断依据，快速制定处置策略；招商引资与产业规划依赖企业画像与资本规模分布来指导精准招商。商业机构在尽职调查、授信评估与客户准入场景中，常面临信息来源碎片化、核验链路不透明的问题，标准化主体库可显著降低人工核验成本并提升风控精度。</w:t>
      </w:r>
    </w:p>
    <w:p w14:paraId="42F012C3">
      <w:pPr>
        <w:spacing w:before="60" w:after="140" w:line="360" w:lineRule="auto"/>
        <w:ind w:firstLine="480" w:firstLineChars="200"/>
        <w:jc w:val="left"/>
      </w:pPr>
      <w:r>
        <w:rPr>
          <w:rFonts w:ascii="Times New Roman" w:hAnsi="Times New Roman" w:eastAsia="宋体" w:cs="Times New Roman"/>
          <w:sz w:val="24"/>
          <w:szCs w:val="24"/>
        </w:rPr>
        <w:t>此外，合规性是市场刚需：数据提供方必须确保数据采集与开放流程符合国家与省市的公共数据管理、个人隐私保护与政务公开规范，并能提供律师事务所的合规审核报告与审计日志。基于此需求，项目在设计之初即纳入数据最小化原则、分级分权的访问控制与可追踪的使用日志，以满足政府采购、第三方审计与企业合规使用三方面的刚性约束。</w:t>
      </w:r>
    </w:p>
    <w:p w14:paraId="3A6785DE">
      <w:pPr>
        <w:spacing w:before="60" w:after="140" w:line="360" w:lineRule="auto"/>
        <w:ind w:firstLine="480" w:firstLineChars="200"/>
        <w:jc w:val="left"/>
      </w:pPr>
      <w:r>
        <w:rPr>
          <w:rFonts w:ascii="Times New Roman" w:hAnsi="Times New Roman" w:eastAsia="宋体" w:cs="Times New Roman"/>
          <w:sz w:val="24"/>
          <w:szCs w:val="24"/>
        </w:rPr>
        <w:t>综上，市场需求呈现高可信、高可用、可审计与可集成的特征。本项目通过标准化字段、稳定接口与合规保障，能够在短期内满足政府试点与商业对接的双重需求，同时为长期的省市级复制与行业生态构建提供基础。</w:t>
      </w:r>
    </w:p>
    <w:p w14:paraId="5C39CC63">
      <w:pPr>
        <w:pStyle w:val="3"/>
      </w:pPr>
      <w:r>
        <w:rPr>
          <w:rFonts w:ascii="Times New Roman" w:hAnsi="Times New Roman" w:eastAsia="宋体" w:cs="Times New Roman"/>
          <w:sz w:val="24"/>
          <w:szCs w:val="24"/>
        </w:rPr>
        <w:t>（三）数据产品和服务的内容</w:t>
      </w:r>
    </w:p>
    <w:p w14:paraId="4C29201D">
      <w:pPr>
        <w:spacing w:before="60" w:after="140" w:line="360" w:lineRule="auto"/>
        <w:ind w:firstLine="480" w:firstLineChars="200"/>
        <w:jc w:val="left"/>
      </w:pPr>
      <w:r>
        <w:rPr>
          <w:rFonts w:ascii="Times New Roman" w:hAnsi="Times New Roman" w:eastAsia="宋体" w:cs="Times New Roman"/>
          <w:sz w:val="24"/>
          <w:szCs w:val="24"/>
        </w:rPr>
        <w:t>本数据产品以构建高可信度的企业主体基础库为核心，数据结构包含核心字段（企业名称、统一社会信用代码、住所/经营场所/驻在场所、市场主体类型、成立日期、登记机关、经营范围、注册资本金、实收资本），并对每条记录附加数据来源、更新时间、可信度评分与变更历史快照。数据采集优先接入工商登记与公示、税务登记、涉企行政许可、年度报告等权威政务接口，辅以公开渠道与第三方地址库进行交叉验证与补足。</w:t>
      </w:r>
    </w:p>
    <w:p w14:paraId="45C0E9F4">
      <w:pPr>
        <w:spacing w:before="60" w:after="140" w:line="360" w:lineRule="auto"/>
        <w:ind w:firstLine="480" w:firstLineChars="200"/>
        <w:jc w:val="left"/>
      </w:pPr>
      <w:r>
        <w:rPr>
          <w:rFonts w:ascii="Times New Roman" w:hAnsi="Times New Roman" w:eastAsia="宋体" w:cs="Times New Roman"/>
          <w:sz w:val="24"/>
          <w:szCs w:val="24"/>
        </w:rPr>
        <w:t>数据加工流程包括：字段清洗与名称归一化（统一字号、繁简体转换、噪声词去除）、地址解析与行政区划映射（分解到省/市/区/街道/门牌层级并进行地理编码）、统一信用代码为主键的去重与主索引构建、经营范围的自然语言处理（分词、实体识别、行业标签映射）以及注册资本与实收资本的数值校验与单位标准化。为提升数据实用性，产品将为经营范围生成主题标签（行业二三级编码），并根据成立日期与资本信息生成成长性与规模分层标签。</w:t>
      </w:r>
    </w:p>
    <w:p w14:paraId="2E02D199">
      <w:pPr>
        <w:spacing w:before="60" w:after="140" w:line="360" w:lineRule="auto"/>
        <w:ind w:firstLine="480" w:firstLineChars="200"/>
        <w:jc w:val="left"/>
      </w:pPr>
      <w:r>
        <w:rPr>
          <w:rFonts w:ascii="Times New Roman" w:hAnsi="Times New Roman" w:eastAsia="宋体" w:cs="Times New Roman"/>
          <w:sz w:val="24"/>
          <w:szCs w:val="24"/>
        </w:rPr>
        <w:t>功能模块上，产品提供：实时检索与模糊匹配API、批量查询与数据订阅、差异化增量同步接口（支持时间窗口与事件推送）、可配置的预警与告警服务（如经营异常、登记机关变更）、以及行政/商业客户所需的合规性报告与数据质量报表。平台还提供可视化分析模块，支持按区域、行业、时间维度的统计与热力图展示，便于决策与监管使用。同时，提供SDK（Python/Java/Node）与OpenAPI规范，简化政务系统与商业系统对接。</w:t>
      </w:r>
    </w:p>
    <w:p w14:paraId="69238A60">
      <w:pPr>
        <w:spacing w:before="60" w:after="140" w:line="360" w:lineRule="auto"/>
        <w:ind w:firstLine="480" w:firstLineChars="200"/>
        <w:jc w:val="left"/>
      </w:pPr>
      <w:r>
        <w:rPr>
          <w:rFonts w:ascii="Times New Roman" w:hAnsi="Times New Roman" w:eastAsia="宋体" w:cs="Times New Roman"/>
          <w:sz w:val="24"/>
          <w:szCs w:val="24"/>
        </w:rPr>
        <w:t>为满足不同客户的需求，产品分为标准版（含API访问、基础字段与数据质量监控）和扩展版（含行业画像、定制报告与SLA保障），并提供按需的数据清洗、标签定制与对接支持服务。所有服务均内置访问控制、加密传输与审计日志功能，确保在政府与商业化场景下既能高效交付又能满足合规审查要求。</w:t>
      </w:r>
    </w:p>
    <w:p w14:paraId="383DC25D">
      <w:pPr>
        <w:pStyle w:val="3"/>
      </w:pPr>
      <w:r>
        <w:rPr>
          <w:rFonts w:ascii="Times New Roman" w:hAnsi="Times New Roman" w:eastAsia="宋体" w:cs="Times New Roman"/>
          <w:sz w:val="24"/>
          <w:szCs w:val="24"/>
        </w:rPr>
        <w:t>（四）数据产品和服务的形态</w:t>
      </w:r>
    </w:p>
    <w:p w14:paraId="7EBF3B6C">
      <w:pPr>
        <w:spacing w:before="60" w:after="140" w:line="360" w:lineRule="auto"/>
        <w:jc w:val="left"/>
      </w:pPr>
      <w:r>
        <w:rPr>
          <w:rFonts w:ascii="Times New Roman" w:hAnsi="Times New Roman" w:eastAsia="宋体" w:cs="Times New Roman"/>
          <w:sz w:val="24"/>
          <w:szCs w:val="24"/>
        </w:rPr>
        <w:t>为适配不同使用场景与技术接入能力，本项目提供多种交付形态：</w:t>
      </w:r>
    </w:p>
    <w:p w14:paraId="5EDF4848">
      <w:pPr>
        <w:pStyle w:val="14"/>
        <w:numPr>
          <w:ilvl w:val="0"/>
          <w:numId w:val="1"/>
        </w:numPr>
        <w:spacing w:before="0" w:after="0" w:line="360" w:lineRule="auto"/>
        <w:jc w:val="left"/>
      </w:pPr>
      <w:r>
        <w:rPr>
          <w:rFonts w:ascii="Times New Roman" w:hAnsi="Times New Roman" w:eastAsia="宋体" w:cs="Times New Roman"/>
          <w:sz w:val="24"/>
          <w:szCs w:val="24"/>
        </w:rPr>
        <w:t>API 接入：通过标准化 RESTful API 提供检索、批量查询、增量同步与事件订阅接口。API 支持过滤、排序、分页、模糊匹配与相似主体提示，返回 JSON/CSV 两种格式，接口响应遵循 SLA 并支持按需限流与并发控制。</w:t>
      </w:r>
    </w:p>
    <w:p w14:paraId="07F4478A">
      <w:pPr>
        <w:pStyle w:val="14"/>
        <w:numPr>
          <w:ilvl w:val="0"/>
          <w:numId w:val="1"/>
        </w:numPr>
        <w:spacing w:before="0" w:after="0" w:line="360" w:lineRule="auto"/>
        <w:jc w:val="left"/>
      </w:pPr>
      <w:r>
        <w:rPr>
          <w:rFonts w:ascii="Times New Roman" w:hAnsi="Times New Roman" w:eastAsia="宋体" w:cs="Times New Roman"/>
          <w:sz w:val="24"/>
          <w:szCs w:val="24"/>
        </w:rPr>
        <w:t>批量数据包：按日/周/月生成全量与增量数据包，用户可通过安全下载或定向 SFTP 获取，数据包含字段说明、数据质量摘要与变更日志，适用于需离线大规模处理的机构。</w:t>
      </w:r>
    </w:p>
    <w:p w14:paraId="360552B2">
      <w:pPr>
        <w:pStyle w:val="14"/>
        <w:numPr>
          <w:ilvl w:val="0"/>
          <w:numId w:val="1"/>
        </w:numPr>
        <w:spacing w:before="0" w:after="0" w:line="360" w:lineRule="auto"/>
        <w:jc w:val="left"/>
      </w:pPr>
      <w:r>
        <w:rPr>
          <w:rFonts w:ascii="Times New Roman" w:hAnsi="Times New Roman" w:eastAsia="宋体" w:cs="Times New Roman"/>
          <w:sz w:val="24"/>
          <w:szCs w:val="24"/>
        </w:rPr>
        <w:t>可视化运营控制台：Web SaaS 平台提供权限分级的管理后台与分析看板，支持自定义报表、地图可视化、行业画像与导出功能，便于非技术用户直接开展统计分析与监管例行工作。</w:t>
      </w:r>
    </w:p>
    <w:p w14:paraId="7CBB443B">
      <w:pPr>
        <w:pStyle w:val="14"/>
        <w:numPr>
          <w:ilvl w:val="0"/>
          <w:numId w:val="1"/>
        </w:numPr>
        <w:spacing w:before="0" w:after="0" w:line="360" w:lineRule="auto"/>
        <w:jc w:val="left"/>
      </w:pPr>
      <w:r>
        <w:rPr>
          <w:rFonts w:ascii="Times New Roman" w:hAnsi="Times New Roman" w:eastAsia="宋体" w:cs="Times New Roman"/>
          <w:sz w:val="24"/>
          <w:szCs w:val="24"/>
        </w:rPr>
        <w:t>事件驱动服务：支持 Webhook 回调与消息队列集成，用于向订阅方实时推送主体重要变更（如工商异常、登记机关变更等），满足业务系统的实时触发需求。</w:t>
      </w:r>
    </w:p>
    <w:p w14:paraId="757FDAD5">
      <w:pPr>
        <w:spacing w:before="60" w:after="140" w:line="360" w:lineRule="auto"/>
        <w:ind w:firstLine="480" w:firstLineChars="200"/>
        <w:jc w:val="left"/>
      </w:pPr>
      <w:r>
        <w:rPr>
          <w:rFonts w:ascii="Times New Roman" w:hAnsi="Times New Roman" w:eastAsia="宋体" w:cs="Times New Roman"/>
          <w:sz w:val="24"/>
          <w:szCs w:val="24"/>
        </w:rPr>
        <w:t>在安全与隐私保护方面，产品实现：基于角色的细粒度权限控制、多租户隔离、API Key/OAuth2 认证、IP 白名单与流量监控；数据在静态存储层采用 AES-256 加密，传输层使用 TLS；敏感字段按最小必要原则展示并支持脱敏输出或聚合统计模式。为合规需求，提供可下载的审计日志、访问记录与律师事务所出具的合规性说明文档，并在合同与技术接口中明确数据使用边界与责任分配。</w:t>
      </w:r>
    </w:p>
    <w:p w14:paraId="364C9188">
      <w:pPr>
        <w:spacing w:before="60" w:after="140" w:line="360" w:lineRule="auto"/>
        <w:ind w:firstLine="480" w:firstLineChars="200"/>
        <w:jc w:val="left"/>
      </w:pPr>
      <w:r>
        <w:rPr>
          <w:rFonts w:ascii="Times New Roman" w:hAnsi="Times New Roman" w:eastAsia="宋体" w:cs="Times New Roman"/>
          <w:sz w:val="24"/>
          <w:szCs w:val="24"/>
        </w:rPr>
        <w:t xml:space="preserve">技术交付包括 API 文档、示例 </w:t>
      </w:r>
      <w:r>
        <w:rPr>
          <w:rFonts w:hint="eastAsia" w:cs="Times New Roman"/>
          <w:sz w:val="24"/>
          <w:szCs w:val="24"/>
          <w:lang w:val="en-US" w:eastAsia="zh-CN"/>
        </w:rPr>
        <w:t>代码</w:t>
      </w:r>
      <w:r>
        <w:rPr>
          <w:rFonts w:ascii="Times New Roman" w:hAnsi="Times New Roman" w:eastAsia="宋体" w:cs="Times New Roman"/>
          <w:sz w:val="24"/>
          <w:szCs w:val="24"/>
        </w:rPr>
        <w:t>、接入指南，以及必要时的现场或远程对接支持服务，保证在政府系统或企业系统中快速落地并稳定运行。</w:t>
      </w:r>
    </w:p>
    <w:p w14:paraId="224CED61">
      <w:pPr>
        <w:pStyle w:val="3"/>
      </w:pPr>
      <w:r>
        <w:rPr>
          <w:rFonts w:ascii="Times New Roman" w:hAnsi="Times New Roman" w:eastAsia="宋体" w:cs="Times New Roman"/>
          <w:sz w:val="24"/>
          <w:szCs w:val="24"/>
        </w:rPr>
        <w:t>（五）产品预计市场成效</w:t>
      </w:r>
    </w:p>
    <w:p w14:paraId="74891BC4">
      <w:pPr>
        <w:spacing w:before="60" w:after="140" w:line="360" w:lineRule="auto"/>
        <w:ind w:firstLine="480" w:firstLineChars="200"/>
        <w:jc w:val="left"/>
      </w:pPr>
      <w:r>
        <w:rPr>
          <w:rFonts w:ascii="Times New Roman" w:hAnsi="Times New Roman" w:eastAsia="宋体" w:cs="Times New Roman"/>
          <w:sz w:val="24"/>
          <w:szCs w:val="24"/>
        </w:rPr>
        <w:t>本项目在治理与市场两个维度均具备显著成效预期：在治理层面，通过建立统一主体基础库与标准化接口，可有效解决部门间主体标识不一致与信息重复核验问题，从而提升监管效率与行政服务体验。预计在试点阶段通过对接市场监管与城市管理两类核心部门，可将线上核验与信息查询时间缩短 30%–60%，将人工与现场核验次数显著降低，同时通过经营范围语义化与规则化比对，</w:t>
      </w:r>
      <w:r>
        <w:rPr>
          <w:rFonts w:ascii="Times New Roman" w:hAnsi="Times New Roman" w:eastAsia="宋体" w:cs="Times New Roman"/>
          <w:sz w:val="24"/>
          <w:szCs w:val="24"/>
        </w:rPr>
        <w:t>提升</w:t>
      </w:r>
      <w:r>
        <w:rPr>
          <w:rFonts w:ascii="Times New Roman" w:hAnsi="Times New Roman" w:eastAsia="宋体" w:cs="Times New Roman"/>
          <w:sz w:val="24"/>
          <w:szCs w:val="24"/>
        </w:rPr>
        <w:t>监管线索发现率。</w:t>
      </w:r>
    </w:p>
    <w:p w14:paraId="0E4D5F71">
      <w:pPr>
        <w:spacing w:before="60" w:after="140" w:line="360" w:lineRule="auto"/>
        <w:ind w:firstLine="480" w:firstLineChars="200"/>
        <w:jc w:val="left"/>
      </w:pPr>
      <w:r>
        <w:rPr>
          <w:rFonts w:ascii="Times New Roman" w:hAnsi="Times New Roman" w:eastAsia="宋体" w:cs="Times New Roman"/>
          <w:sz w:val="24"/>
          <w:szCs w:val="24"/>
        </w:rPr>
        <w:t>在经济与市场层面，数据产品将为金融、征信、SaaS 等商业客户提供高质量的主体核验与画像服务，降低企业运营与风控成本，催生新增商业模式（如基于主体画像的信用服务、行业画像付费报告等）。保守估计，首年通过政府试点与少量商业客户的组合可实现初步商业回收；中长期在扩大客户池与持续优化数据质量后，形成规模化订阅与按量付费收入，推动业务在省内复制并争取跨市推广。</w:t>
      </w:r>
    </w:p>
    <w:p w14:paraId="6604030E">
      <w:pPr>
        <w:spacing w:before="60" w:after="140" w:line="360" w:lineRule="auto"/>
        <w:ind w:firstLine="480" w:firstLineChars="200"/>
        <w:jc w:val="left"/>
      </w:pPr>
      <w:r>
        <w:rPr>
          <w:rFonts w:ascii="Times New Roman" w:hAnsi="Times New Roman" w:eastAsia="宋体" w:cs="Times New Roman"/>
          <w:sz w:val="24"/>
          <w:szCs w:val="24"/>
        </w:rPr>
        <w:t>此外，数据资产的规范化积累将推动城市治理数据生态建设，成为后续更多智慧政务应用（如智能执法、城市风险预警、产业精细化管理）的底层要素。风险方面主要包括数据源接入不稳定、更新滞后与合规边界争议，针对性缓解措施包括优先对接权威政务接口建立直连、实现多源交叉校验与可信度评分、以及由律师团队提供合规审核与数据使用指引，确保在合规与可持续的路径上实现预期效益。</w:t>
      </w:r>
    </w:p>
    <w:p w14:paraId="10E89FDC">
      <w:pPr>
        <w:pStyle w:val="3"/>
      </w:pPr>
      <w:r>
        <w:rPr>
          <w:rFonts w:ascii="Times New Roman" w:hAnsi="Times New Roman" w:eastAsia="宋体" w:cs="Times New Roman"/>
          <w:sz w:val="24"/>
          <w:szCs w:val="24"/>
        </w:rPr>
        <w:t>（六）目标客户</w:t>
      </w:r>
    </w:p>
    <w:p w14:paraId="79304AD5">
      <w:pPr>
        <w:spacing w:before="60" w:after="140" w:line="360" w:lineRule="auto"/>
        <w:jc w:val="left"/>
      </w:pPr>
      <w:r>
        <w:rPr>
          <w:rFonts w:ascii="Times New Roman" w:hAnsi="Times New Roman" w:eastAsia="宋体" w:cs="Times New Roman"/>
          <w:sz w:val="24"/>
          <w:szCs w:val="24"/>
        </w:rPr>
        <w:t>本产品面向广泛的政府与商业用户，重点覆盖以下类别：</w:t>
      </w:r>
    </w:p>
    <w:p w14:paraId="0318BB9D">
      <w:pPr>
        <w:pStyle w:val="14"/>
        <w:numPr>
          <w:ilvl w:val="0"/>
          <w:numId w:val="2"/>
        </w:numPr>
        <w:spacing w:before="0" w:after="0" w:line="360" w:lineRule="auto"/>
        <w:jc w:val="left"/>
      </w:pPr>
      <w:r>
        <w:rPr>
          <w:rFonts w:ascii="Times New Roman" w:hAnsi="Times New Roman" w:eastAsia="宋体" w:cs="Times New Roman"/>
          <w:sz w:val="24"/>
          <w:szCs w:val="24"/>
        </w:rPr>
        <w:t>政府职能部门：市场监管、工商登记、税务、城市管理、应急管理、公安执法与招商部门等。对于这些部门，本数据集提供高可信的主体基础数据、变更追溯与审计链路，满足监管、准入与应急处置的刚性需求。</w:t>
      </w:r>
    </w:p>
    <w:p w14:paraId="1B5F435B">
      <w:pPr>
        <w:pStyle w:val="14"/>
        <w:numPr>
          <w:ilvl w:val="0"/>
          <w:numId w:val="2"/>
        </w:numPr>
        <w:spacing w:before="0" w:after="0" w:line="360" w:lineRule="auto"/>
        <w:jc w:val="left"/>
      </w:pPr>
      <w:r>
        <w:rPr>
          <w:rFonts w:ascii="Times New Roman" w:hAnsi="Times New Roman" w:eastAsia="宋体" w:cs="Times New Roman"/>
          <w:sz w:val="24"/>
          <w:szCs w:val="24"/>
        </w:rPr>
        <w:t>金融与信用机构：银行、保险、征信机构及互联网金融平台。通过接入本库，金融机构可优化客户准入、尽职调查与授信评估流程，降低人为核验成本并提升风险识别能力。</w:t>
      </w:r>
    </w:p>
    <w:p w14:paraId="3BB58D97">
      <w:pPr>
        <w:pStyle w:val="14"/>
        <w:numPr>
          <w:ilvl w:val="0"/>
          <w:numId w:val="2"/>
        </w:numPr>
        <w:spacing w:before="0" w:after="0" w:line="360" w:lineRule="auto"/>
        <w:jc w:val="left"/>
      </w:pPr>
      <w:r>
        <w:rPr>
          <w:rFonts w:ascii="Times New Roman" w:hAnsi="Times New Roman" w:eastAsia="宋体" w:cs="Times New Roman"/>
          <w:sz w:val="24"/>
          <w:szCs w:val="24"/>
        </w:rPr>
        <w:t>平台与服务商：行业SaaS（工商代理、税务代理、合规平台）、地图与物流平台、物业与城市服务运营商等，这类客户需要批量、稳定、可配置的数据服务与画布化分析功能。</w:t>
      </w:r>
    </w:p>
    <w:p w14:paraId="2C72EA17">
      <w:pPr>
        <w:pStyle w:val="14"/>
        <w:numPr>
          <w:ilvl w:val="0"/>
          <w:numId w:val="2"/>
        </w:numPr>
        <w:spacing w:before="0" w:after="0" w:line="360" w:lineRule="auto"/>
        <w:jc w:val="left"/>
      </w:pPr>
      <w:r>
        <w:rPr>
          <w:rFonts w:ascii="Times New Roman" w:hAnsi="Times New Roman" w:eastAsia="宋体" w:cs="Times New Roman"/>
          <w:sz w:val="24"/>
          <w:szCs w:val="24"/>
        </w:rPr>
        <w:t>咨询与研究机构：咨询公司、行业研究机构、产业园区运营方等，需求集中在产业画像、区域企业分布与趋势分析方面，用以支撑决策与策略建议。</w:t>
      </w:r>
    </w:p>
    <w:p w14:paraId="187A1BEF">
      <w:pPr>
        <w:spacing w:before="60" w:after="140" w:line="360" w:lineRule="auto"/>
        <w:jc w:val="left"/>
      </w:pPr>
      <w:r>
        <w:rPr>
          <w:rFonts w:ascii="Times New Roman" w:hAnsi="Times New Roman" w:eastAsia="宋体" w:cs="Times New Roman"/>
          <w:sz w:val="24"/>
          <w:szCs w:val="24"/>
        </w:rPr>
        <w:t>针对不同客户群，本项目提供灵活的交付方案（政府长期许可、企业按量计费、定制化数据包与报告），并在技术上提供 SDK、标准 API 与运维支持，确保接入便利性与业务连续性。优先策略上将以政府试点作为切入点，通过政务合作促成权威性背书，进而向商业客户与行业伙伴推广，实现政企联动的规模扩展。</w:t>
      </w:r>
    </w:p>
    <w:p w14:paraId="1DD7E248">
      <w:pPr>
        <w:pStyle w:val="3"/>
      </w:pPr>
      <w:r>
        <w:rPr>
          <w:rFonts w:ascii="Times New Roman" w:hAnsi="Times New Roman" w:eastAsia="宋体" w:cs="Times New Roman"/>
          <w:sz w:val="24"/>
          <w:szCs w:val="24"/>
        </w:rPr>
        <w:t>（七）预期商业收益</w:t>
      </w:r>
    </w:p>
    <w:p w14:paraId="562BAA98">
      <w:pPr>
        <w:spacing w:before="60" w:after="140" w:line="360" w:lineRule="auto"/>
        <w:jc w:val="left"/>
      </w:pPr>
      <w:r>
        <w:rPr>
          <w:rFonts w:ascii="Times New Roman" w:hAnsi="Times New Roman" w:eastAsia="宋体" w:cs="Times New Roman"/>
          <w:sz w:val="24"/>
          <w:szCs w:val="24"/>
        </w:rPr>
        <w:t>收入模式设计遵循“基础订阅 + 按量付费 + 定制服务 + 增值产品”的混合模式，以兼顾政府长期采购与商业化变现能力。具体包括：</w:t>
      </w:r>
    </w:p>
    <w:p w14:paraId="30775850">
      <w:pPr>
        <w:pStyle w:val="14"/>
        <w:numPr>
          <w:ilvl w:val="0"/>
          <w:numId w:val="2"/>
        </w:numPr>
        <w:spacing w:before="0" w:after="0" w:line="360" w:lineRule="auto"/>
        <w:jc w:val="left"/>
      </w:pPr>
      <w:r>
        <w:rPr>
          <w:rFonts w:ascii="Times New Roman" w:hAnsi="Times New Roman" w:eastAsia="宋体" w:cs="Times New Roman"/>
          <w:sz w:val="24"/>
          <w:szCs w:val="24"/>
        </w:rPr>
        <w:t>基础订阅：按机构/部门与功能模块定价，为政府或大型企业客户提供年度许可与 SLA 保证，适用于长期使用场景；</w:t>
      </w:r>
    </w:p>
    <w:p w14:paraId="0DAA7271">
      <w:pPr>
        <w:pStyle w:val="14"/>
        <w:numPr>
          <w:ilvl w:val="0"/>
          <w:numId w:val="2"/>
        </w:numPr>
        <w:spacing w:before="0" w:after="0" w:line="360" w:lineRule="auto"/>
        <w:jc w:val="left"/>
      </w:pPr>
      <w:r>
        <w:rPr>
          <w:rFonts w:ascii="Times New Roman" w:hAnsi="Times New Roman" w:eastAsia="宋体" w:cs="Times New Roman"/>
          <w:sz w:val="24"/>
          <w:szCs w:val="24"/>
        </w:rPr>
        <w:t>API 按量计费：针对第三方开发者与中小企业，按 API 调用量或数据条数计费，以降低试用门槛并促使广泛采用；</w:t>
      </w:r>
    </w:p>
    <w:p w14:paraId="1F45169F">
      <w:pPr>
        <w:pStyle w:val="14"/>
        <w:numPr>
          <w:ilvl w:val="0"/>
          <w:numId w:val="2"/>
        </w:numPr>
        <w:spacing w:before="0" w:after="0" w:line="360" w:lineRule="auto"/>
        <w:jc w:val="left"/>
      </w:pPr>
      <w:r>
        <w:rPr>
          <w:rFonts w:ascii="Times New Roman" w:hAnsi="Times New Roman" w:eastAsia="宋体" w:cs="Times New Roman"/>
          <w:sz w:val="24"/>
          <w:szCs w:val="24"/>
        </w:rPr>
        <w:t>定制化服务：数据清洗、标签定制、对接实施与行业报告按项目计费，满足客户的特定分析与合规需求；</w:t>
      </w:r>
    </w:p>
    <w:p w14:paraId="0B5FC085">
      <w:pPr>
        <w:pStyle w:val="14"/>
        <w:numPr>
          <w:ilvl w:val="0"/>
          <w:numId w:val="2"/>
        </w:numPr>
        <w:spacing w:before="0" w:after="0" w:line="360" w:lineRule="auto"/>
        <w:jc w:val="left"/>
      </w:pPr>
      <w:r>
        <w:rPr>
          <w:rFonts w:ascii="Times New Roman" w:hAnsi="Times New Roman" w:eastAsia="宋体" w:cs="Times New Roman"/>
          <w:sz w:val="24"/>
          <w:szCs w:val="24"/>
        </w:rPr>
        <w:t>增值产品：行业画像包、可视化看板订阅、合规尽调报告等作为溢价项目销售。</w:t>
      </w:r>
    </w:p>
    <w:p w14:paraId="2CEC53BC">
      <w:pPr>
        <w:spacing w:before="60" w:after="140" w:line="360" w:lineRule="auto"/>
        <w:ind w:firstLine="480" w:firstLineChars="200"/>
        <w:jc w:val="left"/>
      </w:pPr>
      <w:r>
        <w:rPr>
          <w:rFonts w:ascii="Times New Roman" w:hAnsi="Times New Roman" w:eastAsia="宋体" w:cs="Times New Roman"/>
          <w:sz w:val="24"/>
          <w:szCs w:val="24"/>
        </w:rPr>
        <w:t xml:space="preserve">基于初步市场假设（主城区企业主体数量级、政府采购节奏与商业客户转化率），我们预计：试点首年在完成政府核心部门的试点对接后，可实现 </w:t>
      </w:r>
      <w:r>
        <w:rPr>
          <w:rFonts w:ascii="Times New Roman" w:hAnsi="Times New Roman" w:eastAsia="宋体" w:cs="Times New Roman"/>
          <w:sz w:val="24"/>
          <w:szCs w:val="24"/>
          <w:highlight w:val="yellow"/>
        </w:rPr>
        <w:t>50–150 万</w:t>
      </w:r>
      <w:r>
        <w:rPr>
          <w:rFonts w:ascii="Times New Roman" w:hAnsi="Times New Roman" w:eastAsia="宋体" w:cs="Times New Roman"/>
          <w:sz w:val="24"/>
          <w:szCs w:val="24"/>
        </w:rPr>
        <w:t>元人民币的收入（含订阅与定制服务）；三年内通过扩展至更多部门与行业客户，年收入可望达到</w:t>
      </w:r>
      <w:r>
        <w:rPr>
          <w:rFonts w:ascii="Times New Roman" w:hAnsi="Times New Roman" w:eastAsia="宋体" w:cs="Times New Roman"/>
          <w:sz w:val="24"/>
          <w:szCs w:val="24"/>
          <w:highlight w:val="yellow"/>
        </w:rPr>
        <w:t xml:space="preserve"> 300–800 万</w:t>
      </w:r>
      <w:r>
        <w:rPr>
          <w:rFonts w:ascii="Times New Roman" w:hAnsi="Times New Roman" w:eastAsia="宋体" w:cs="Times New Roman"/>
          <w:sz w:val="24"/>
          <w:szCs w:val="24"/>
        </w:rPr>
        <w:t xml:space="preserve">元人民币；在成功实现省内复制与与金融/大型SaaS渠道合作后，有望突破 </w:t>
      </w:r>
      <w:r>
        <w:rPr>
          <w:rFonts w:ascii="Times New Roman" w:hAnsi="Times New Roman" w:eastAsia="宋体" w:cs="Times New Roman"/>
          <w:sz w:val="24"/>
          <w:szCs w:val="24"/>
          <w:highlight w:val="yellow"/>
        </w:rPr>
        <w:t>1000 万</w:t>
      </w:r>
      <w:r>
        <w:rPr>
          <w:rFonts w:ascii="Times New Roman" w:hAnsi="Times New Roman" w:eastAsia="宋体" w:cs="Times New Roman"/>
          <w:sz w:val="24"/>
          <w:szCs w:val="24"/>
        </w:rPr>
        <w:t>元人民币的年收入规模。</w:t>
      </w:r>
    </w:p>
    <w:p w14:paraId="4E591B05">
      <w:pPr>
        <w:spacing w:before="60" w:after="140" w:line="360" w:lineRule="auto"/>
        <w:jc w:val="left"/>
      </w:pPr>
      <w:r>
        <w:rPr>
          <w:rFonts w:ascii="Times New Roman" w:hAnsi="Times New Roman" w:eastAsia="宋体" w:cs="Times New Roman"/>
          <w:sz w:val="24"/>
          <w:szCs w:val="24"/>
        </w:rPr>
        <w:t>项目投资回收主要集中在数据接入与清洗管线搭建、合规与安全能力建设、以及与政府对接的人力成本。预计在完成政府试点并获得若干付费商业客户后，可在 2–3 年内实现盈亏平衡。为降低商业化推广风险，建议采取“先政务后商业”的策略：以政府采购与试点作为背书，分阶段开放商业接口并通过模块化定价与免费试用策略加速客户获取。</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3E3860"/>
    <w:multiLevelType w:val="multilevel"/>
    <w:tmpl w:val="B23E3860"/>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BFBB575"/>
    <w:multiLevelType w:val="multilevel"/>
    <w:tmpl w:val="3BFBB575"/>
    <w:lvl w:ilvl="0" w:tentative="0">
      <w:start w:val="1"/>
      <w:numFmt w:val="decimal"/>
      <w:lvlText w:val="%1."/>
      <w:lvlJc w:val="left"/>
      <w:pPr>
        <w:ind w:left="604" w:hanging="403"/>
      </w:pPr>
    </w:lvl>
    <w:lvl w:ilvl="1" w:tentative="0">
      <w:start w:val="1"/>
      <w:numFmt w:val="lowerRoman"/>
      <w:lvlText w:val="%2."/>
      <w:lvlJc w:val="left"/>
      <w:pPr>
        <w:ind w:left="1209" w:hanging="403"/>
      </w:pPr>
    </w:lvl>
    <w:lvl w:ilvl="2" w:tentative="0">
      <w:start w:val="1"/>
      <w:numFmt w:val="lowerLetter"/>
      <w:lvlText w:val="%3."/>
      <w:lvlJc w:val="left"/>
      <w:pPr>
        <w:ind w:left="1814" w:hanging="403"/>
      </w:pPr>
    </w:lvl>
    <w:lvl w:ilvl="3" w:tentative="0">
      <w:start w:val="1"/>
      <w:numFmt w:val="lowerLetter"/>
      <w:lvlText w:val="%4."/>
      <w:lvlJc w:val="left"/>
      <w:pPr>
        <w:ind w:left="2419" w:hanging="403"/>
      </w:pPr>
    </w:lvl>
    <w:lvl w:ilvl="4" w:tentative="0">
      <w:start w:val="1"/>
      <w:numFmt w:val="lowerLetter"/>
      <w:lvlText w:val="%5."/>
      <w:lvlJc w:val="left"/>
      <w:pPr>
        <w:ind w:left="3024" w:hanging="403"/>
      </w:pPr>
    </w:lvl>
    <w:lvl w:ilvl="5" w:tentative="0">
      <w:start w:val="1"/>
      <w:numFmt w:val="lowerLetter"/>
      <w:lvlText w:val="%6."/>
      <w:lvlJc w:val="left"/>
      <w:pPr>
        <w:ind w:left="3628" w:hanging="403"/>
      </w:pPr>
    </w:lvl>
    <w:lvl w:ilvl="6" w:tentative="0">
      <w:start w:val="1"/>
      <w:numFmt w:val="lowerLetter"/>
      <w:lvlText w:val="%7."/>
      <w:lvlJc w:val="left"/>
      <w:pPr>
        <w:ind w:left="4233" w:hanging="403"/>
      </w:pPr>
    </w:lvl>
    <w:lvl w:ilvl="7" w:tentative="0">
      <w:start w:val="1"/>
      <w:numFmt w:val="lowerLetter"/>
      <w:lvlText w:val="%8."/>
      <w:lvlJc w:val="left"/>
      <w:pPr>
        <w:ind w:left="4838" w:hanging="403"/>
      </w:pPr>
    </w:lvl>
    <w:lvl w:ilvl="8" w:tentative="0">
      <w:start w:val="1"/>
      <w:numFmt w:val="lowerLetter"/>
      <w:lvlText w:val="%9."/>
      <w:lvlJc w:val="left"/>
      <w:pPr>
        <w:ind w:left="5443" w:hanging="431"/>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documentProtection w:enforcement="0"/>
  <w:compat>
    <w:useFELayout/>
    <w:compatSetting w:name="compatibilityMode" w:uri="http://schemas.microsoft.com/office/word" w:val="15"/>
  </w:compat>
  <w:rsids>
    <w:rsidRoot w:val="00000000"/>
    <w:rsid w:val="677F45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uiPriority w:val="0"/>
    <w:pPr>
      <w:spacing w:before="60" w:after="180" w:line="360" w:lineRule="auto"/>
      <w:jc w:val="center"/>
    </w:pPr>
    <w:rPr>
      <w:rFonts w:ascii="Times New Roman" w:hAnsi="Times New Roman" w:eastAsia="宋体" w:cs="Times New Roman"/>
      <w:b/>
      <w:bCs/>
      <w:color w:val="171717"/>
      <w:sz w:val="44"/>
      <w:szCs w:val="44"/>
    </w:rPr>
  </w:style>
  <w:style w:type="paragraph" w:styleId="3">
    <w:name w:val="heading 2"/>
    <w:next w:val="1"/>
    <w:uiPriority w:val="0"/>
    <w:pPr>
      <w:spacing w:before="380" w:after="100" w:line="360" w:lineRule="auto"/>
      <w:jc w:val="left"/>
    </w:pPr>
    <w:rPr>
      <w:rFonts w:ascii="Times New Roman" w:hAnsi="Times New Roman" w:eastAsia="宋体" w:cs="Times New Roman"/>
      <w:b/>
      <w:bCs/>
      <w:color w:val="171717"/>
      <w:sz w:val="36"/>
      <w:szCs w:val="36"/>
    </w:rPr>
  </w:style>
  <w:style w:type="paragraph" w:styleId="4">
    <w:name w:val="heading 3"/>
    <w:next w:val="1"/>
    <w:uiPriority w:val="0"/>
    <w:pPr>
      <w:spacing w:before="340" w:after="80" w:line="360" w:lineRule="auto"/>
      <w:jc w:val="left"/>
    </w:pPr>
    <w:rPr>
      <w:rFonts w:ascii="Times New Roman" w:hAnsi="Times New Roman" w:eastAsia="宋体" w:cs="Times New Roman"/>
      <w:b/>
      <w:bCs/>
      <w:color w:val="171717"/>
      <w:sz w:val="32"/>
      <w:szCs w:val="32"/>
    </w:rPr>
  </w:style>
  <w:style w:type="paragraph" w:styleId="5">
    <w:name w:val="heading 4"/>
    <w:next w:val="1"/>
    <w:uiPriority w:val="0"/>
    <w:pPr>
      <w:spacing w:before="300" w:after="60" w:line="360" w:lineRule="auto"/>
      <w:jc w:val="left"/>
    </w:pPr>
    <w:rPr>
      <w:rFonts w:ascii="Times New Roman" w:hAnsi="Times New Roman" w:eastAsia="宋体" w:cs="Times New Roman"/>
      <w:b/>
      <w:bCs/>
      <w:color w:val="171717"/>
      <w:sz w:val="28"/>
      <w:szCs w:val="28"/>
    </w:rPr>
  </w:style>
  <w:style w:type="paragraph" w:styleId="6">
    <w:name w:val="heading 5"/>
    <w:next w:val="1"/>
    <w:qFormat/>
    <w:uiPriority w:val="0"/>
    <w:pPr>
      <w:spacing w:before="260" w:after="40" w:line="360" w:lineRule="auto"/>
      <w:jc w:val="left"/>
    </w:pPr>
    <w:rPr>
      <w:rFonts w:ascii="Times New Roman" w:hAnsi="Times New Roman" w:eastAsia="宋体" w:cs="Times New Roman"/>
      <w:b/>
      <w:bCs/>
      <w:color w:val="171717"/>
      <w:sz w:val="26"/>
      <w:szCs w:val="26"/>
    </w:rPr>
  </w:style>
  <w:style w:type="paragraph" w:styleId="7">
    <w:name w:val="heading 6"/>
    <w:next w:val="1"/>
    <w:qFormat/>
    <w:uiPriority w:val="0"/>
    <w:pPr>
      <w:spacing w:before="220" w:after="20" w:line="360" w:lineRule="auto"/>
      <w:jc w:val="left"/>
    </w:pPr>
    <w:rPr>
      <w:rFonts w:ascii="Times New Roman" w:hAnsi="Times New Roman" w:eastAsia="宋体" w:cs="Times New Roman"/>
      <w:b/>
      <w:bCs/>
      <w:color w:val="171717"/>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uiPriority w:val="99"/>
    <w:pPr>
      <w:spacing w:before="60" w:after="0" w:line="240" w:lineRule="auto"/>
    </w:pPr>
    <w:rPr>
      <w:rFonts w:ascii="Times New Roman" w:hAnsi="Times New Roman" w:eastAsia="宋体" w:cs="Times New Roman"/>
      <w:sz w:val="20"/>
      <w:szCs w:val="20"/>
    </w:rPr>
  </w:style>
  <w:style w:type="paragraph" w:styleId="9">
    <w:name w:val="Title"/>
    <w:qFormat/>
    <w:uiPriority w:val="0"/>
    <w:pPr>
      <w:spacing w:before="60" w:after="140" w:line="360" w:lineRule="auto"/>
    </w:pPr>
    <w:rPr>
      <w:rFonts w:ascii="Times New Roman" w:hAnsi="Times New Roman" w:eastAsia="宋体" w:cs="Times New Roman"/>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pPr>
      <w:spacing w:before="60" w:after="140" w:line="360" w:lineRule="auto"/>
    </w:pPr>
    <w:rPr>
      <w:rFonts w:ascii="Times New Roman" w:hAnsi="Times New Roman" w:eastAsia="宋体" w:cs="Times New Roman"/>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3</TotalTime>
  <ScaleCrop>false</ScaleCrop>
  <LinksUpToDate>false</LinksUpToDate>
  <Application>WPS Office_6.8.2.8850_F1E327BC-269C-435d-A152-05C5408002CA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Markdown Viewer Extension</dc:creator>
  <cp:lastModifiedBy>等等</cp:lastModifiedBy>
  <dcterms:modified xsi:type="dcterms:W3CDTF">2026-03-26T12:11:16Z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D52215F3EB93052EE4B1C469F81C7209_42</vt:lpwstr>
  </property>
</Properties>
</file>