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91EB3" w:rsidRPr="00991EB3" w:rsidTr="00991EB3">
        <w:tc>
          <w:tcPr>
            <w:tcW w:w="1345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91EB3" w:rsidRPr="00991EB3" w:rsidRDefault="00991EB3" w:rsidP="00991EB3">
            <w:pPr>
              <w:widowControl/>
              <w:spacing w:after="240" w:line="240" w:lineRule="auto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TWMASTER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臺幣交易主檔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Table Name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TWMASTER Description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臺幣交易主檔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Schema B2B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Primary Key TWMASTERKEY Index 01 Index 02</w:t>
            </w:r>
          </w:p>
          <w:p w:rsidR="00991EB3" w:rsidRPr="00991EB3" w:rsidRDefault="00991EB3" w:rsidP="00991EB3">
            <w:pPr>
              <w:widowControl/>
              <w:spacing w:after="240" w:line="240" w:lineRule="auto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No FieldName Type Description Null Default Remark</w:t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hd w:val="clear" w:color="auto" w:fill="F6F8FA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/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TWMASTERKEY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bigint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交易主檔鍵值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X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IDENTITY</w:t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pacing w:beforeAutospacing="1" w:after="0" w:afterAutospacing="1" w:line="240" w:lineRule="auto"/>
              <w:ind w:left="1080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hd w:val="clear" w:color="auto" w:fill="F6F8FA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/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TXDOCID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varchar(22)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案件編號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X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流程案件編號</w:t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pacing w:after="0" w:afterAutospacing="1" w:line="240" w:lineRule="auto"/>
              <w:ind w:left="1080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hd w:val="clear" w:color="auto" w:fill="F6F8FA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/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TASKID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varchar(9)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交易功能代號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X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pacing w:after="0" w:afterAutospacing="1" w:line="240" w:lineRule="auto"/>
              <w:ind w:left="1080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hd w:val="clear" w:color="auto" w:fill="F6F8FA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/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USERKEY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int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操作者鍵值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X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pacing w:after="0" w:afterAutospacing="1" w:line="240" w:lineRule="auto"/>
              <w:ind w:left="1080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hd w:val="clear" w:color="auto" w:fill="F6F8FA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/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AREA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varchar(3)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區域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  <w:t>X</w:t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ab/>
            </w:r>
            <w:r w:rsidRPr="00991EB3">
              <w:rPr>
                <w:rFonts w:ascii="Menlo" w:eastAsia="細明體" w:hAnsi="Menlo" w:cs="Menlo"/>
                <w:color w:val="1F2328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紀錄登入使用者所屬區域：</w:t>
            </w:r>
          </w:p>
          <w:p w:rsidR="00991EB3" w:rsidRPr="00991EB3" w:rsidRDefault="00991EB3" w:rsidP="00991EB3">
            <w:pPr>
              <w:widowControl/>
              <w:numPr>
                <w:ilvl w:val="0"/>
                <w:numId w:val="1"/>
              </w:numPr>
              <w:spacing w:after="0" w:afterAutospacing="1" w:line="240" w:lineRule="auto"/>
              <w:ind w:left="1080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</w:p>
          <w:p w:rsidR="00991EB3" w:rsidRPr="00991EB3" w:rsidRDefault="00991EB3" w:rsidP="00991EB3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</w:pP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一般戶：自己公司所屬區域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”XID”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”XID”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6. SOURCETYPE smallint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資料來源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X 1: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檔案上傳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2: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自行輸入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3: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範本引用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7. TXKIND smallint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整批類型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X 0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：單筆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1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：整批一扣多入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2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：整批多扣多入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-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3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：整批多扣多入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-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逐筆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8. INPUTPERIODTYPE smallint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交易日期類別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X 1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：指定付款日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2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：週期預約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-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月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3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：週期預約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-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9. INPUTTXDATE date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指定付款日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10. INPUTPERIODDAY vachar(2)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週期預約執行日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INPUTPERIODTYPE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2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，則存週期預約每月幾號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( 1- 31)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；若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INPUTPERIODTYPE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3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，則存週期預約每週幾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( 1- 7)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11. INPUTSTARTDATE date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週期預約起日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lastRenderedPageBreak/>
              <w:t xml:space="preserve">12. INPUTENDDATE date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週期預約迄日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13. UPCOUNT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匯入成功總筆數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14. UPAMT numeric (20,2)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匯入成功總金額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15. TOTALCOUNT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總筆數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16. TOTALAMT numeric ( 20,2)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總金額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17. TXNSTATUS smallint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系統狀態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客戶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系統狀態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客戶面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18. SYSSTATUS smallint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系統狀態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系統狀態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系統面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19. COMPANYKEY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主用戶公司鍵值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執行者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) X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紀錄登入使用者所屬公司鍵值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(COMPANYKEY)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20. COMPANYUID varchar(20)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登入使用者所屬公司編號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X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紀錄登入使用者所屬公司編號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(COMPANYUID)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21. OPAREA varchar(3)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操作者地區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紀錄執行交易區域：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一般戶：自己公司所屬區域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：切換之統編所屬區域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”XID”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22. OPCOMPANYKEY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操作者公司鍵值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紀錄執行交易之公司鍵值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(COMPANYKEY)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：切換之統編公司鍵值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與該統編共用一份設定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23. OPCOMPANYUID varchar(20)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操作者公司編號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紀錄執行交易之公司編號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(COMPANYUID)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一般戶：自己公司編號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集團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：切換之統編公司編號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共用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XID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編號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24. CREATETIME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建檔時間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25. APPROVEDATE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放行日期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26. TEMPLATENAME nvarchar(64)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交易範本簡稱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27. UPFILENAME nvarchar(256)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上傳檔案原始檔名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於建立案件時寫入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TWUPMASTER.FILENAME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28. UPFILENAMESYS nvarchar(256)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上傳檔案系統儲存檔名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於建立案件時寫入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lastRenderedPageBreak/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TWUPMASTER.BAKFILENAME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29. UPFILETIME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檔案上傳時間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於建立案件時寫入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TWUPMASTER.UPLOADDATE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30. UPFORMATNAME nvarchar(256)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上傳格式名稱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於建立案件時寫入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＝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TWUPMASTER. FILEFORMATNAME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31. EXECUTETIME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電文發送時間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一扣電文發送時間。於批次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-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臺幣一扣多入扣帳處理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含預約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，發送扣帳電文後記錄時間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32. DFTSENDFILENAME nvarchar(50)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自行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記錄傳檔至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FTP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的檔案名稱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33. RMTSENDFILENAME nvarchar(50)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他行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記錄傳檔至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FTP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的檔案名稱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34. DFTSENDFILETIME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自行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傳送扣自入自檔至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FTP&amp;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呼叫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web service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成功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傳檔成功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的時間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35. RMTSENDFILETIME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他行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傳送扣自入他檔至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FTP&amp;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呼叫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web service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成功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傳檔成功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的時間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36. DFTRCVFILETIME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收檔時間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自行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收到扣自入自回覆檔，準備更新狀態前寫入收檔時間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37. RMTRCVFILETIME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收檔時間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(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他行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) [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臺幣整批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]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收到扣自入自回覆檔，準備更新狀態前寫入收檔時間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38. EMPKEY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異常處理人員鍵值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=B2E.B2EUSERPROFILE.USEKEY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39. EMPNAME nvarchar(32)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異常處理人員名稱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=B2E.B2EUSERPROFILE.USENAME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40. EXCPROCESSTIME datetime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異常處理時間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異常處理時，行員更新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DB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狀態的時間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41. EXCPROCESSFLAG int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人工異常註記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 xml:space="preserve"> 0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：無人工介入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>1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：人工介入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br/>
              <w:t xml:space="preserve">42. CONTENTHASH varchar(256) 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檔案內容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Hash</w:t>
            </w:r>
            <w:r w:rsidRPr="00991EB3">
              <w:rPr>
                <w:rFonts w:ascii="Segoe UI" w:eastAsia="新細明體" w:hAnsi="Segoe UI" w:cs="Segoe UI"/>
                <w:color w:val="1F2328"/>
                <w:kern w:val="0"/>
                <w:sz w:val="21"/>
                <w:szCs w:val="21"/>
                <w14:ligatures w14:val="none"/>
              </w:rPr>
              <w:t>值</w:t>
            </w:r>
          </w:p>
        </w:tc>
      </w:tr>
    </w:tbl>
    <w:p w:rsidR="00991EB3" w:rsidRPr="00991EB3" w:rsidRDefault="00991EB3" w:rsidP="00991EB3">
      <w:pPr>
        <w:widowControl/>
        <w:spacing w:after="0" w:line="240" w:lineRule="auto"/>
        <w:jc w:val="center"/>
        <w:rPr>
          <w:rFonts w:ascii="新細明體" w:eastAsia="新細明體" w:hAnsi="新細明體" w:cs="新細明體"/>
          <w:kern w:val="0"/>
          <w14:ligatures w14:val="none"/>
        </w:rPr>
      </w:pPr>
      <w:r w:rsidRPr="00991EB3">
        <w:rPr>
          <w:rFonts w:ascii="新細明體" w:eastAsia="新細明體" w:hAnsi="新細明體" w:cs="新細明體"/>
          <w:kern w:val="0"/>
          <w14:ligatures w14:val="none"/>
        </w:rPr>
        <w:lastRenderedPageBreak/>
        <w:t>01</w:t>
      </w:r>
    </w:p>
    <w:p w:rsidR="00991EB3" w:rsidRPr="00991EB3" w:rsidRDefault="00991EB3" w:rsidP="00991EB3">
      <w:pPr>
        <w:widowControl/>
        <w:spacing w:line="240" w:lineRule="auto"/>
        <w:rPr>
          <w:rFonts w:ascii="新細明體" w:eastAsia="新細明體" w:hAnsi="新細明體" w:cs="新細明體"/>
          <w:vanish/>
          <w:kern w:val="0"/>
          <w14:ligatures w14:val="none"/>
        </w:rPr>
      </w:pPr>
    </w:p>
    <w:p w:rsidR="00E845FA" w:rsidRDefault="00E845FA"/>
    <w:sectPr w:rsidR="00E84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A6AAF"/>
    <w:multiLevelType w:val="multilevel"/>
    <w:tmpl w:val="F99E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25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3"/>
    <w:rsid w:val="00125881"/>
    <w:rsid w:val="002F5693"/>
    <w:rsid w:val="009727AD"/>
    <w:rsid w:val="00991EB3"/>
    <w:rsid w:val="00AC7667"/>
    <w:rsid w:val="00E03D50"/>
    <w:rsid w:val="00E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1A2DB"/>
  <w15:chartTrackingRefBased/>
  <w15:docId w15:val="{FA7CD3F1-1045-1443-97E2-7F0B5B0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E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E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E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E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E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E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E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1E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1E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1E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1E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1E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1E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1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E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E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1E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1E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E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E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1E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EB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91EB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91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991EB3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991EB3"/>
    <w:rPr>
      <w:rFonts w:ascii="細明體" w:eastAsia="細明體" w:hAnsi="細明體" w:cs="細明體"/>
      <w:sz w:val="24"/>
      <w:szCs w:val="24"/>
    </w:rPr>
  </w:style>
  <w:style w:type="character" w:customStyle="1" w:styleId="js-default-vote-count">
    <w:name w:val="js-default-vote-count"/>
    <w:basedOn w:val="a0"/>
    <w:rsid w:val="00991EB3"/>
  </w:style>
  <w:style w:type="character" w:customStyle="1" w:styleId="js-upvoted-vote-count">
    <w:name w:val="js-upvoted-vote-count"/>
    <w:basedOn w:val="a0"/>
    <w:rsid w:val="0099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994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952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蕭宇君</dc:creator>
  <cp:keywords/>
  <dc:description/>
  <cp:lastModifiedBy>蕭宇君</cp:lastModifiedBy>
  <cp:revision>2</cp:revision>
  <dcterms:created xsi:type="dcterms:W3CDTF">2025-04-18T01:10:00Z</dcterms:created>
  <dcterms:modified xsi:type="dcterms:W3CDTF">2025-04-18T01:10:00Z</dcterms:modified>
</cp:coreProperties>
</file>