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产品造型设计专业</w:t>
      </w:r>
      <w:r>
        <w:rPr>
          <w:rFonts w:hint="eastAsia" w:ascii="黑体" w:hAnsi="黑体" w:eastAsia="黑体"/>
          <w:sz w:val="44"/>
          <w:szCs w:val="44"/>
        </w:rPr>
        <w:t>内部质量保证体系</w:t>
      </w: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自我诊改报告</w:t>
      </w: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（</w:t>
      </w:r>
      <w:bookmarkStart w:id="0" w:name="DiagnosticTime1"/>
      <w:r>
        <w:rPr>
          <w:rFonts w:hint="eastAsia" w:ascii="宋体" w:hAnsi="宋体" w:eastAsia="宋体"/>
          <w:b/>
          <w:sz w:val="44"/>
          <w:szCs w:val="44"/>
        </w:rPr>
        <w:t>2018年04月</w:t>
      </w:r>
      <w:bookmarkEnd w:id="0"/>
      <w:r>
        <w:rPr>
          <w:rFonts w:hint="eastAsia" w:ascii="宋体" w:hAnsi="宋体" w:eastAsia="宋体"/>
          <w:b/>
          <w:sz w:val="44"/>
          <w:szCs w:val="44"/>
        </w:rPr>
        <w:t>）</w:t>
      </w: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24"/>
          <w:szCs w:val="24"/>
        </w:rPr>
      </w:pPr>
    </w:p>
    <w:p>
      <w:pPr>
        <w:widowControl/>
        <w:adjustRightInd w:val="0"/>
        <w:snapToGrid w:val="0"/>
        <w:spacing w:before="100" w:beforeAutospacing="1" w:after="100" w:afterAutospacing="1" w:line="520" w:lineRule="exact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深圳</w:t>
      </w:r>
      <w:r>
        <w:rPr>
          <w:rFonts w:hint="eastAsia" w:ascii="宋体" w:hAnsi="宋体" w:eastAsia="宋体"/>
          <w:b/>
          <w:sz w:val="24"/>
          <w:szCs w:val="24"/>
        </w:rPr>
        <w:fldChar w:fldCharType="begin"/>
      </w:r>
      <w:r>
        <w:rPr>
          <w:rFonts w:hint="eastAsia" w:ascii="宋体" w:hAnsi="宋体" w:eastAsia="宋体"/>
          <w:b/>
          <w:sz w:val="24"/>
          <w:szCs w:val="24"/>
        </w:rPr>
        <w:instrText xml:space="preserve"> HYPERLINK "http://www.deceen.com/" \t "http://localhost:8080/t_qas/_blank" </w:instrText>
      </w:r>
      <w:r>
        <w:rPr>
          <w:rFonts w:hint="eastAsia" w:ascii="宋体" w:hAnsi="宋体" w:eastAsia="宋体"/>
          <w:b/>
          <w:sz w:val="24"/>
          <w:szCs w:val="24"/>
        </w:rPr>
        <w:fldChar w:fldCharType="separate"/>
      </w:r>
      <w:r>
        <w:rPr>
          <w:rFonts w:hint="eastAsia" w:ascii="宋体" w:hAnsi="宋体" w:eastAsia="宋体"/>
          <w:b/>
          <w:sz w:val="24"/>
          <w:szCs w:val="24"/>
        </w:rPr>
        <w:t>市德信软件有限</w:t>
      </w:r>
      <w:r>
        <w:rPr>
          <w:rFonts w:hint="eastAsia" w:ascii="宋体" w:hAnsi="宋体" w:eastAsia="宋体"/>
          <w:b/>
          <w:sz w:val="24"/>
          <w:szCs w:val="24"/>
        </w:rPr>
        <w:fldChar w:fldCharType="end"/>
      </w:r>
      <w:r>
        <w:rPr>
          <w:rFonts w:hint="eastAsia" w:ascii="宋体" w:hAnsi="宋体" w:eastAsia="宋体"/>
          <w:b/>
          <w:sz w:val="24"/>
          <w:szCs w:val="24"/>
        </w:rPr>
        <w:t>公司</w:t>
      </w:r>
    </w:p>
    <w:p>
      <w:pPr>
        <w:spacing w:line="360" w:lineRule="auto"/>
        <w:ind w:firstLine="480"/>
        <w:rPr>
          <w:sz w:val="24"/>
          <w:szCs w:val="24"/>
        </w:rPr>
      </w:pPr>
    </w:p>
    <w:p>
      <w:pPr>
        <w:spacing w:line="360" w:lineRule="auto"/>
        <w:ind w:firstLine="480"/>
        <w:rPr>
          <w:sz w:val="24"/>
          <w:szCs w:val="24"/>
        </w:rPr>
      </w:pPr>
    </w:p>
    <w:p>
      <w:pPr>
        <w:spacing w:line="360" w:lineRule="auto"/>
        <w:jc w:val="center"/>
        <w:rPr>
          <w:szCs w:val="21"/>
        </w:rPr>
      </w:pPr>
      <w:bookmarkStart w:id="1" w:name="WordContents"/>
      <w:r>
        <w:rPr>
          <w:b/>
          <w:sz w:val="30"/>
          <w:szCs w:val="21"/>
        </w:rPr>
        <w:t>目录</w:t>
      </w:r>
    </w:p>
    <w:p>
      <w:pPr>
        <w:pStyle w:val="10"/>
        <w:tabs>
          <w:tab w:val="right" w:leader="dot" w:pos="8306"/>
        </w:tabs>
      </w:pPr>
      <w:r>
        <w:rPr>
          <w:b w:val="0"/>
          <w:sz w:val="21"/>
          <w:szCs w:val="21"/>
        </w:rPr>
        <w:fldChar w:fldCharType="begin"/>
      </w:r>
      <w:r>
        <w:rPr>
          <w:b w:val="0"/>
          <w:sz w:val="21"/>
          <w:szCs w:val="21"/>
        </w:rPr>
        <w:instrText xml:space="preserve">TOC "1-3"</w:instrText>
      </w:r>
      <w:r>
        <w:rPr>
          <w:b w:val="0"/>
          <w:sz w:val="21"/>
          <w:szCs w:val="21"/>
        </w:rPr>
        <w:fldChar w:fldCharType="separate"/>
      </w:r>
      <w:r>
        <w:rPr>
          <w:rFonts w:hint="eastAsia" w:ascii="Times New Roman" w:hAnsi="Times New Roman"/>
          <w:szCs w:val="36"/>
        </w:rPr>
        <w:t xml:space="preserve">1. </w:t>
      </w:r>
      <w:r>
        <w:rPr>
          <w:rFonts w:hint="eastAsia"/>
          <w:szCs w:val="36"/>
          <w:lang w:eastAsia="zh-CN"/>
        </w:rPr>
        <w:t>总体</w:t>
      </w:r>
      <w:r>
        <w:rPr>
          <w:rFonts w:hint="eastAsia"/>
          <w:szCs w:val="36"/>
        </w:rPr>
        <w:t>概况</w:t>
      </w:r>
      <w:r>
        <w:tab/>
      </w:r>
      <w:r>
        <w:fldChar w:fldCharType="begin"/>
      </w:r>
      <w:r>
        <w:instrText xml:space="preserve"> PAGEREF _Toc23401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/>
        </w:rPr>
        <w:t xml:space="preserve">1.1. </w:t>
      </w:r>
      <w:r>
        <w:rPr>
          <w:rFonts w:hint="eastAsia"/>
        </w:rPr>
        <w:t>合格率分析</w:t>
      </w:r>
      <w:r>
        <w:tab/>
      </w:r>
      <w:r>
        <w:fldChar w:fldCharType="begin"/>
      </w:r>
      <w:r>
        <w:instrText xml:space="preserve"> PAGEREF _Toc28269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/>
        </w:rPr>
        <w:t xml:space="preserve">1.2. </w:t>
      </w:r>
      <w:r>
        <w:rPr>
          <w:rFonts w:hint="eastAsia"/>
        </w:rPr>
        <w:t>问题描述及改进意见</w:t>
      </w:r>
      <w:r>
        <w:tab/>
      </w:r>
      <w:r>
        <w:fldChar w:fldCharType="begin"/>
      </w:r>
      <w:r>
        <w:instrText xml:space="preserve"> PAGEREF _Toc19027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Times New Roman" w:hAnsi="Times New Roman"/>
          <w:szCs w:val="36"/>
        </w:rPr>
        <w:t xml:space="preserve">2. </w:t>
      </w:r>
      <w:r>
        <w:rPr>
          <w:rFonts w:hint="eastAsia"/>
          <w:szCs w:val="36"/>
        </w:rPr>
        <w:t>项目</w:t>
      </w:r>
      <w:r>
        <w:rPr>
          <w:rFonts w:hint="eastAsia"/>
          <w:szCs w:val="36"/>
          <w:lang w:eastAsia="zh-CN"/>
        </w:rPr>
        <w:t>详情</w:t>
      </w:r>
      <w:r>
        <w:tab/>
      </w:r>
      <w:r>
        <w:fldChar w:fldCharType="begin"/>
      </w:r>
      <w:r>
        <w:instrText xml:space="preserve"> PAGEREF _Toc16317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rPr>
          <w:rtl w:val="0"/>
        </w:rPr>
        <w:t>2.1</w:t>
      </w:r>
      <w:r>
        <w:rPr>
          <w:rFonts w:hint="eastAsia"/>
          <w:rtl w:val="0"/>
        </w:rPr>
        <w:t>专业建设规划</w:t>
      </w:r>
      <w:r>
        <w:tab/>
      </w:r>
      <w:r>
        <w:fldChar w:fldCharType="begin"/>
      </w:r>
      <w:r>
        <w:instrText xml:space="preserve"> PAGEREF _Toc11355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2.1.1</w:t>
      </w:r>
      <w:r>
        <w:rPr>
          <w:rFonts w:hint="eastAsia"/>
          <w:rtl w:val="0"/>
        </w:rPr>
        <w:t xml:space="preserve"> 具有高级职务教师占专任教师的比例（%）</w:t>
      </w:r>
      <w:r>
        <w:tab/>
      </w:r>
      <w:r>
        <w:fldChar w:fldCharType="begin"/>
      </w:r>
      <w:r>
        <w:instrText xml:space="preserve"> PAGEREF _Toc1889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2.1.2</w:t>
      </w:r>
      <w:r>
        <w:rPr>
          <w:rFonts w:hint="eastAsia"/>
          <w:rtl w:val="0"/>
        </w:rPr>
        <w:t>生均占地面积（㎡/生）</w:t>
      </w:r>
      <w:r>
        <w:tab/>
      </w:r>
      <w:r>
        <w:fldChar w:fldCharType="begin"/>
      </w:r>
      <w:r>
        <w:instrText xml:space="preserve"> PAGEREF _Toc15714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2.1.3</w:t>
      </w:r>
      <w:r>
        <w:rPr>
          <w:rFonts w:hint="eastAsia"/>
          <w:rtl w:val="0"/>
        </w:rPr>
        <w:t>专任教师获专利技术专利数占专任教师数（%）</w:t>
      </w:r>
      <w:r>
        <w:tab/>
      </w:r>
      <w:r>
        <w:fldChar w:fldCharType="begin"/>
      </w:r>
      <w:r>
        <w:instrText xml:space="preserve"> PAGEREF _Toc2323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2.1.4毕业生对母校的满意度</w:t>
      </w:r>
      <w:r>
        <w:tab/>
      </w:r>
      <w:r>
        <w:fldChar w:fldCharType="begin"/>
      </w:r>
      <w:r>
        <w:instrText xml:space="preserve"> PAGEREF _Toc21523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2.1.5各级各类创新创业技能大赛获得高等级奖项</w:t>
      </w:r>
      <w:r>
        <w:tab/>
      </w:r>
      <w:r>
        <w:fldChar w:fldCharType="begin"/>
      </w:r>
      <w:r>
        <w:instrText xml:space="preserve"> PAGEREF _Toc17224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2.1.6毕业生的教学满意度</w:t>
      </w:r>
      <w:r>
        <w:tab/>
      </w:r>
      <w:r>
        <w:fldChar w:fldCharType="begin"/>
      </w:r>
      <w:r>
        <w:instrText xml:space="preserve"> PAGEREF _Toc13756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2.1.7硕士研究生以上学历教师比例</w:t>
      </w:r>
      <w:r>
        <w:tab/>
      </w:r>
      <w:r>
        <w:fldChar w:fldCharType="begin"/>
      </w:r>
      <w:r>
        <w:instrText xml:space="preserve"> PAGEREF _Toc19481 </w:instrText>
      </w:r>
      <w:r>
        <w:fldChar w:fldCharType="separate"/>
      </w:r>
      <w:r>
        <w:t>10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2.1.8专任教师占比</w:t>
      </w:r>
      <w:r>
        <w:tab/>
      </w:r>
      <w:r>
        <w:fldChar w:fldCharType="begin"/>
      </w:r>
      <w:r>
        <w:instrText xml:space="preserve"> PAGEREF _Toc30218 </w:instrText>
      </w:r>
      <w:r>
        <w:fldChar w:fldCharType="separate"/>
      </w:r>
      <w:r>
        <w:t>10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2.1.9具有双师素质专任教师数/专任教师数(%)</w:t>
      </w:r>
      <w:r>
        <w:tab/>
      </w:r>
      <w:r>
        <w:fldChar w:fldCharType="begin"/>
      </w:r>
      <w:r>
        <w:instrText xml:space="preserve"> PAGEREF _Toc20108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2.1.10具有行业、企业工作经验教师/专任教师数（%）</w:t>
      </w:r>
      <w:r>
        <w:tab/>
      </w:r>
      <w:r>
        <w:fldChar w:fldCharType="begin"/>
      </w:r>
      <w:r>
        <w:instrText xml:space="preserve"> PAGEREF _Toc10676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2.1.11省级以上教学名师数</w:t>
      </w:r>
      <w:r>
        <w:tab/>
      </w:r>
      <w:r>
        <w:fldChar w:fldCharType="begin"/>
      </w:r>
      <w:r>
        <w:instrText xml:space="preserve"> PAGEREF _Toc29476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2.1.12专任教师平均周学时（学时）(按38周计算)</w:t>
      </w:r>
      <w:r>
        <w:tab/>
      </w:r>
      <w:r>
        <w:fldChar w:fldCharType="begin"/>
      </w:r>
      <w:r>
        <w:instrText xml:space="preserve"> PAGEREF _Toc11084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2.1.13月度评价得分满意率</w:t>
      </w:r>
      <w:r>
        <w:tab/>
      </w:r>
      <w:r>
        <w:fldChar w:fldCharType="begin"/>
      </w:r>
      <w:r>
        <w:instrText xml:space="preserve"> PAGEREF _Toc5594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2.1.14校外兼职教师学年承担b和c类课程教学工作量占比（%）</w:t>
      </w:r>
      <w:r>
        <w:tab/>
      </w:r>
      <w:r>
        <w:fldChar w:fldCharType="begin"/>
      </w:r>
      <w:r>
        <w:instrText xml:space="preserve"> PAGEREF _Toc27603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2.1.15督导评分</w:t>
      </w:r>
      <w:r>
        <w:tab/>
      </w:r>
      <w:r>
        <w:fldChar w:fldCharType="begin"/>
      </w:r>
      <w:r>
        <w:instrText xml:space="preserve"> PAGEREF _Toc31978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2.1.16教师授课计划编写率（%）</w:t>
      </w:r>
      <w:r>
        <w:tab/>
      </w:r>
      <w:r>
        <w:fldChar w:fldCharType="begin"/>
      </w:r>
      <w:r>
        <w:instrText xml:space="preserve"> PAGEREF _Toc21707 </w:instrText>
      </w:r>
      <w:r>
        <w:fldChar w:fldCharType="separate"/>
      </w:r>
      <w:r>
        <w:t>14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2.1.17教学事故次数</w:t>
      </w:r>
      <w:r>
        <w:tab/>
      </w:r>
      <w:r>
        <w:fldChar w:fldCharType="begin"/>
      </w:r>
      <w:r>
        <w:instrText xml:space="preserve"> PAGEREF _Toc7974 </w:instrText>
      </w:r>
      <w:r>
        <w:fldChar w:fldCharType="separate"/>
      </w:r>
      <w:r>
        <w:t>14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2.1.18教师参加培训数量</w:t>
      </w:r>
      <w:r>
        <w:tab/>
      </w:r>
      <w:r>
        <w:fldChar w:fldCharType="begin"/>
      </w:r>
      <w:r>
        <w:instrText xml:space="preserve"> PAGEREF _Toc12238 </w:instrText>
      </w:r>
      <w:r>
        <w:fldChar w:fldCharType="separate"/>
      </w:r>
      <w:r>
        <w:t>15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2.1.19教师社会兼职数量</w:t>
      </w:r>
      <w:r>
        <w:tab/>
      </w:r>
      <w:r>
        <w:fldChar w:fldCharType="begin"/>
      </w:r>
      <w:r>
        <w:instrText xml:space="preserve"> PAGEREF _Toc15776 </w:instrText>
      </w:r>
      <w:r>
        <w:fldChar w:fldCharType="separate"/>
      </w:r>
      <w:r>
        <w:t>15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2.1.20省级以上获奖项目数量</w:t>
      </w:r>
      <w:r>
        <w:tab/>
      </w:r>
      <w:r>
        <w:fldChar w:fldCharType="begin"/>
      </w:r>
      <w:r>
        <w:instrText xml:space="preserve"> PAGEREF _Toc26618 </w:instrText>
      </w:r>
      <w:r>
        <w:fldChar w:fldCharType="separate"/>
      </w:r>
      <w:r>
        <w:t>15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2.1.21获技术专利（技术发明）项目数量</w:t>
      </w:r>
      <w:r>
        <w:tab/>
      </w:r>
      <w:r>
        <w:fldChar w:fldCharType="begin"/>
      </w:r>
      <w:r>
        <w:instrText xml:space="preserve"> PAGEREF _Toc29679 </w:instrText>
      </w:r>
      <w:r>
        <w:fldChar w:fldCharType="separate"/>
      </w:r>
      <w:r>
        <w:t>16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2.1.22省级以上在研课题数量</w:t>
      </w:r>
      <w:r>
        <w:tab/>
      </w:r>
      <w:r>
        <w:fldChar w:fldCharType="begin"/>
      </w:r>
      <w:r>
        <w:instrText xml:space="preserve"> PAGEREF _Toc23478 </w:instrText>
      </w:r>
      <w:r>
        <w:fldChar w:fldCharType="separate"/>
      </w:r>
      <w:r>
        <w:t>16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2.1.23在研课题到款经费（万元）</w:t>
      </w:r>
      <w:r>
        <w:tab/>
      </w:r>
      <w:r>
        <w:fldChar w:fldCharType="begin"/>
      </w:r>
      <w:r>
        <w:instrText xml:space="preserve"> PAGEREF _Toc15199 </w:instrText>
      </w:r>
      <w:r>
        <w:fldChar w:fldCharType="separate"/>
      </w:r>
      <w:r>
        <w:t>17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2.1.24公开出版著作数量</w:t>
      </w:r>
      <w:r>
        <w:tab/>
      </w:r>
      <w:r>
        <w:fldChar w:fldCharType="begin"/>
      </w:r>
      <w:r>
        <w:instrText xml:space="preserve"> PAGEREF _Toc27031 </w:instrText>
      </w:r>
      <w:r>
        <w:fldChar w:fldCharType="separate"/>
      </w:r>
      <w:r>
        <w:t>17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2.1.25公开发表核心论文数量</w:t>
      </w:r>
      <w:r>
        <w:tab/>
      </w:r>
      <w:r>
        <w:fldChar w:fldCharType="begin"/>
      </w:r>
      <w:r>
        <w:instrText xml:space="preserve"> PAGEREF _Toc196 </w:instrText>
      </w:r>
      <w:r>
        <w:fldChar w:fldCharType="separate"/>
      </w:r>
      <w:r>
        <w:t>17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2.1.26公开发表非核心论文数量</w:t>
      </w:r>
      <w:r>
        <w:tab/>
      </w:r>
      <w:r>
        <w:fldChar w:fldCharType="begin"/>
      </w:r>
      <w:r>
        <w:instrText xml:space="preserve"> PAGEREF _Toc31087 </w:instrText>
      </w:r>
      <w:r>
        <w:fldChar w:fldCharType="separate"/>
      </w:r>
      <w:r>
        <w:t>18</w:t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rPr>
          <w:rtl w:val="0"/>
        </w:rPr>
        <w:t>2.2</w:t>
      </w:r>
      <w:r>
        <w:rPr>
          <w:rFonts w:hint="default"/>
          <w:rtl w:val="0"/>
        </w:rPr>
        <w:t>专业诊改</w:t>
      </w:r>
      <w:r>
        <w:tab/>
      </w:r>
      <w:r>
        <w:fldChar w:fldCharType="begin"/>
      </w:r>
      <w:r>
        <w:instrText xml:space="preserve"> PAGEREF _Toc10700 </w:instrText>
      </w:r>
      <w:r>
        <w:fldChar w:fldCharType="separate"/>
      </w:r>
      <w:r>
        <w:t>18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2.2.1专业在校生数</w:t>
      </w:r>
      <w:r>
        <w:tab/>
      </w:r>
      <w:r>
        <w:fldChar w:fldCharType="begin"/>
      </w:r>
      <w:r>
        <w:instrText xml:space="preserve"> PAGEREF _Toc2760 </w:instrText>
      </w:r>
      <w:r>
        <w:fldChar w:fldCharType="separate"/>
      </w:r>
      <w:r>
        <w:t>19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2.2.2辍学人数</w:t>
      </w:r>
      <w:r>
        <w:tab/>
      </w:r>
      <w:r>
        <w:fldChar w:fldCharType="begin"/>
      </w:r>
      <w:r>
        <w:instrText xml:space="preserve"> PAGEREF _Toc3591 </w:instrText>
      </w:r>
      <w:r>
        <w:fldChar w:fldCharType="separate"/>
      </w:r>
      <w:r>
        <w:t>19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2.2.3社团数量</w:t>
      </w:r>
      <w:r>
        <w:tab/>
      </w:r>
      <w:r>
        <w:fldChar w:fldCharType="begin"/>
      </w:r>
      <w:r>
        <w:instrText xml:space="preserve"> PAGEREF _Toc23651 </w:instrText>
      </w:r>
      <w:r>
        <w:fldChar w:fldCharType="separate"/>
      </w:r>
      <w:r>
        <w:t>20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2.2.4举办志愿者（义工/社工）活动次数</w:t>
      </w:r>
      <w:r>
        <w:tab/>
      </w:r>
      <w:r>
        <w:fldChar w:fldCharType="begin"/>
      </w:r>
      <w:r>
        <w:instrText xml:space="preserve"> PAGEREF _Toc18680 </w:instrText>
      </w:r>
      <w:r>
        <w:fldChar w:fldCharType="separate"/>
      </w:r>
      <w:r>
        <w:t>20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2.2.5参与志愿者（义工/社工）活动总人次</w:t>
      </w:r>
      <w:r>
        <w:tab/>
      </w:r>
      <w:r>
        <w:fldChar w:fldCharType="begin"/>
      </w:r>
      <w:r>
        <w:instrText xml:space="preserve"> PAGEREF _Toc7274 </w:instrText>
      </w:r>
      <w:r>
        <w:fldChar w:fldCharType="separate"/>
      </w:r>
      <w:r>
        <w:t>21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2.2.6学生因学校品牌报考本校原因占比</w:t>
      </w:r>
      <w:r>
        <w:tab/>
      </w:r>
      <w:r>
        <w:fldChar w:fldCharType="begin"/>
      </w:r>
      <w:r>
        <w:instrText xml:space="preserve"> PAGEREF _Toc13809 </w:instrText>
      </w:r>
      <w:r>
        <w:fldChar w:fldCharType="separate"/>
      </w:r>
      <w:r>
        <w:t>21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2.2.7毕业率</w:t>
      </w:r>
      <w:r>
        <w:tab/>
      </w:r>
      <w:r>
        <w:fldChar w:fldCharType="begin"/>
      </w:r>
      <w:r>
        <w:instrText xml:space="preserve"> PAGEREF _Toc20343 </w:instrText>
      </w:r>
      <w:r>
        <w:fldChar w:fldCharType="separate"/>
      </w:r>
      <w:r>
        <w:t>22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2.2.8初次就业率</w:t>
      </w:r>
      <w:r>
        <w:tab/>
      </w:r>
      <w:r>
        <w:fldChar w:fldCharType="begin"/>
      </w:r>
      <w:r>
        <w:instrText xml:space="preserve"> PAGEREF _Toc11141 </w:instrText>
      </w:r>
      <w:r>
        <w:fldChar w:fldCharType="separate"/>
      </w:r>
      <w:r>
        <w:t>22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2.2.9年终就业率</w:t>
      </w:r>
      <w:r>
        <w:tab/>
      </w:r>
      <w:r>
        <w:fldChar w:fldCharType="begin"/>
      </w:r>
      <w:r>
        <w:instrText xml:space="preserve"> PAGEREF _Toc19622 </w:instrText>
      </w:r>
      <w:r>
        <w:fldChar w:fldCharType="separate"/>
      </w:r>
      <w:r>
        <w:t>23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2.2.10平均起薪线</w:t>
      </w:r>
      <w:r>
        <w:tab/>
      </w:r>
      <w:r>
        <w:fldChar w:fldCharType="begin"/>
      </w:r>
      <w:r>
        <w:instrText xml:space="preserve"> PAGEREF _Toc31702 </w:instrText>
      </w:r>
      <w:r>
        <w:fldChar w:fldCharType="separate"/>
      </w:r>
      <w:r>
        <w:t>23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2.2.11毕业对口就业率</w:t>
      </w:r>
      <w:r>
        <w:tab/>
      </w:r>
      <w:r>
        <w:fldChar w:fldCharType="begin"/>
      </w:r>
      <w:r>
        <w:instrText xml:space="preserve"> PAGEREF _Toc24383 </w:instrText>
      </w:r>
      <w:r>
        <w:fldChar w:fldCharType="separate"/>
      </w:r>
      <w:r>
        <w:t>24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2.2.12用人单位满意或基本满意情况</w:t>
      </w:r>
      <w:r>
        <w:tab/>
      </w:r>
      <w:r>
        <w:fldChar w:fldCharType="begin"/>
      </w:r>
      <w:r>
        <w:instrText xml:space="preserve"> PAGEREF _Toc10251 </w:instrText>
      </w:r>
      <w:r>
        <w:fldChar w:fldCharType="separate"/>
      </w:r>
      <w:r>
        <w:t>24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2.2.13职业资格证书获取率</w:t>
      </w:r>
      <w:r>
        <w:tab/>
      </w:r>
      <w:r>
        <w:fldChar w:fldCharType="begin"/>
      </w:r>
      <w:r>
        <w:instrText xml:space="preserve"> PAGEREF _Toc25285 </w:instrText>
      </w:r>
      <w:r>
        <w:fldChar w:fldCharType="separate"/>
      </w:r>
      <w:r>
        <w:t>25</w:t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rPr>
          <w:rtl w:val="0"/>
        </w:rPr>
        <w:t>2.3</w:t>
      </w:r>
      <w:r>
        <w:rPr>
          <w:rFonts w:hint="default"/>
          <w:rtl w:val="0"/>
        </w:rPr>
        <w:t>课程建设规划</w:t>
      </w:r>
      <w:r>
        <w:tab/>
      </w:r>
      <w:r>
        <w:fldChar w:fldCharType="begin"/>
      </w:r>
      <w:r>
        <w:instrText xml:space="preserve"> PAGEREF _Toc26794 </w:instrText>
      </w:r>
      <w:r>
        <w:fldChar w:fldCharType="separate"/>
      </w:r>
      <w:r>
        <w:t>25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2.3.1校企双导师数量</w:t>
      </w:r>
      <w:r>
        <w:tab/>
      </w:r>
      <w:r>
        <w:fldChar w:fldCharType="begin"/>
      </w:r>
      <w:r>
        <w:instrText xml:space="preserve"> PAGEREF _Toc5229 </w:instrText>
      </w:r>
      <w:r>
        <w:fldChar w:fldCharType="separate"/>
      </w:r>
      <w:r>
        <w:t>26</w:t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rPr>
          <w:rtl w:val="0"/>
        </w:rPr>
        <w:t>2.4</w:t>
      </w:r>
      <w:r>
        <w:rPr>
          <w:rFonts w:hint="eastAsia"/>
          <w:rtl w:val="0"/>
        </w:rPr>
        <w:t>课程诊改效果</w:t>
      </w:r>
      <w:r>
        <w:tab/>
      </w:r>
      <w:r>
        <w:fldChar w:fldCharType="begin"/>
      </w:r>
      <w:r>
        <w:instrText xml:space="preserve"> PAGEREF _Toc31161 </w:instrText>
      </w:r>
      <w:r>
        <w:fldChar w:fldCharType="separate"/>
      </w:r>
      <w:r>
        <w:t>26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2.4.1实验实习场所占地面积</w:t>
      </w:r>
      <w:r>
        <w:tab/>
      </w:r>
      <w:r>
        <w:fldChar w:fldCharType="begin"/>
      </w:r>
      <w:r>
        <w:instrText xml:space="preserve"> PAGEREF _Toc27973 </w:instrText>
      </w:r>
      <w:r>
        <w:fldChar w:fldCharType="separate"/>
      </w:r>
      <w:r>
        <w:t>27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2.4.2实验实习场所占地面积占教学科研及辅助用房比例</w:t>
      </w:r>
      <w:r>
        <w:tab/>
      </w:r>
      <w:r>
        <w:fldChar w:fldCharType="begin"/>
      </w:r>
      <w:r>
        <w:instrText xml:space="preserve"> PAGEREF _Toc20677 </w:instrText>
      </w:r>
      <w:r>
        <w:fldChar w:fldCharType="separate"/>
      </w:r>
      <w:r>
        <w:t>27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2.4.3校内实践基地数量</w:t>
      </w:r>
      <w:r>
        <w:tab/>
      </w:r>
      <w:r>
        <w:fldChar w:fldCharType="begin"/>
      </w:r>
      <w:r>
        <w:instrText xml:space="preserve"> PAGEREF _Toc12944 </w:instrText>
      </w:r>
      <w:r>
        <w:fldChar w:fldCharType="separate"/>
      </w:r>
      <w:r>
        <w:t>28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2.4.4校内实践基地工位数</w:t>
      </w:r>
      <w:r>
        <w:tab/>
      </w:r>
      <w:r>
        <w:fldChar w:fldCharType="begin"/>
      </w:r>
      <w:r>
        <w:instrText xml:space="preserve"> PAGEREF _Toc21568 </w:instrText>
      </w:r>
      <w:r>
        <w:fldChar w:fldCharType="separate"/>
      </w:r>
      <w:r>
        <w:t>28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tl w:val="0"/>
        </w:rPr>
        <w:t>2.4.5校外实习实训基地数量</w:t>
      </w:r>
      <w:r>
        <w:tab/>
      </w:r>
      <w:r>
        <w:fldChar w:fldCharType="begin"/>
      </w:r>
      <w:r>
        <w:instrText xml:space="preserve"> PAGEREF _Toc5676 </w:instrText>
      </w:r>
      <w:r>
        <w:fldChar w:fldCharType="separate"/>
      </w:r>
      <w:r>
        <w:t>29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Times New Roman" w:hAnsi="Times New Roman"/>
        </w:rPr>
        <w:t xml:space="preserve">3. </w:t>
      </w:r>
      <w:r>
        <w:rPr>
          <w:rFonts w:hint="eastAsia"/>
        </w:rPr>
        <w:t>内部质量自我诊改报告</w:t>
      </w:r>
      <w:r>
        <w:tab/>
      </w:r>
      <w:r>
        <w:fldChar w:fldCharType="begin"/>
      </w:r>
      <w:r>
        <w:instrText xml:space="preserve"> PAGEREF _Toc9955 </w:instrText>
      </w:r>
      <w:r>
        <w:fldChar w:fldCharType="separate"/>
      </w:r>
      <w:r>
        <w:t>29</w:t>
      </w:r>
      <w:r>
        <w:fldChar w:fldCharType="end"/>
      </w:r>
    </w:p>
    <w:p>
      <w:pPr>
        <w:spacing w:line="360" w:lineRule="auto"/>
        <w:jc w:val="left"/>
        <w:rPr>
          <w:b/>
          <w:sz w:val="30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Cs w:val="21"/>
        </w:rPr>
        <w:fldChar w:fldCharType="end"/>
      </w:r>
    </w:p>
    <w:bookmarkEnd w:id="1"/>
    <w:p>
      <w:pPr>
        <w:spacing w:line="360" w:lineRule="auto"/>
        <w:jc w:val="left"/>
        <w:rPr>
          <w:b w:val="0"/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sz w:val="36"/>
          <w:szCs w:val="36"/>
        </w:rPr>
      </w:pPr>
      <w:bookmarkStart w:id="2" w:name="_Toc493866825"/>
      <w:bookmarkStart w:id="3" w:name="_Toc23401"/>
      <w:r>
        <w:rPr>
          <w:rFonts w:hint="eastAsia"/>
          <w:sz w:val="36"/>
          <w:szCs w:val="36"/>
          <w:lang w:eastAsia="zh-CN"/>
        </w:rPr>
        <w:t>总体</w:t>
      </w:r>
      <w:r>
        <w:rPr>
          <w:rFonts w:hint="eastAsia"/>
          <w:sz w:val="36"/>
          <w:szCs w:val="36"/>
        </w:rPr>
        <w:t>概况</w:t>
      </w:r>
      <w:bookmarkEnd w:id="2"/>
      <w:bookmarkEnd w:id="3"/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本报告由</w:t>
      </w:r>
      <w:r>
        <w:rPr>
          <w:rFonts w:hint="eastAsia"/>
          <w:sz w:val="24"/>
          <w:szCs w:val="24"/>
          <w:lang w:eastAsia="zh-CN"/>
        </w:rPr>
        <w:t>德信教学</w:t>
      </w:r>
      <w:r>
        <w:rPr>
          <w:rFonts w:hint="eastAsia"/>
          <w:sz w:val="24"/>
          <w:szCs w:val="24"/>
        </w:rPr>
        <w:t>质量保证系统根据学校《</w:t>
      </w:r>
      <w:bookmarkStart w:id="4" w:name="SchemeName1"/>
      <w:r>
        <w:rPr>
          <w:rFonts w:hint="eastAsia"/>
          <w:sz w:val="24"/>
          <w:szCs w:val="24"/>
        </w:rPr>
        <w:t>云南机电专业诊断方案</w:t>
      </w:r>
      <w:bookmarkEnd w:id="4"/>
      <w:r>
        <w:rPr>
          <w:rFonts w:hint="eastAsia"/>
          <w:sz w:val="24"/>
          <w:szCs w:val="24"/>
        </w:rPr>
        <w:t>》，以</w:t>
      </w:r>
      <w:bookmarkStart w:id="5" w:name="DiagnosticTime2"/>
      <w:r>
        <w:rPr>
          <w:rFonts w:hint="eastAsia"/>
          <w:sz w:val="24"/>
          <w:szCs w:val="24"/>
        </w:rPr>
        <w:t>2018年04月</w:t>
      </w:r>
      <w:bookmarkEnd w:id="5"/>
      <w:r>
        <w:rPr>
          <w:rFonts w:hint="eastAsia"/>
          <w:sz w:val="24"/>
          <w:szCs w:val="24"/>
        </w:rPr>
        <w:t>的数据作为诊断数据源，对</w:t>
      </w:r>
      <w:bookmarkStart w:id="6" w:name="MajorName2"/>
      <w:r>
        <w:rPr>
          <w:rFonts w:hint="eastAsia"/>
          <w:sz w:val="24"/>
          <w:szCs w:val="24"/>
        </w:rPr>
        <w:t>图形图像制作</w:t>
      </w:r>
      <w:bookmarkEnd w:id="6"/>
      <w:r>
        <w:rPr>
          <w:rFonts w:hint="eastAsia"/>
          <w:sz w:val="24"/>
          <w:szCs w:val="24"/>
        </w:rPr>
        <w:t>专业进行综合诊断分析，并形成该诊断报告。</w:t>
      </w:r>
    </w:p>
    <w:p>
      <w:pPr>
        <w:spacing w:line="360" w:lineRule="auto"/>
        <w:ind w:firstLine="480"/>
        <w:rPr>
          <w:sz w:val="24"/>
          <w:szCs w:val="24"/>
        </w:rPr>
      </w:pP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根据《</w:t>
      </w:r>
      <w:bookmarkStart w:id="7" w:name="SchemeName2"/>
      <w:r>
        <w:rPr>
          <w:rFonts w:hint="eastAsia"/>
          <w:sz w:val="24"/>
          <w:szCs w:val="24"/>
        </w:rPr>
        <w:t>云南机电专业诊断方案</w:t>
      </w:r>
      <w:bookmarkEnd w:id="7"/>
      <w:r>
        <w:rPr>
          <w:rFonts w:hint="eastAsia"/>
          <w:sz w:val="24"/>
          <w:szCs w:val="24"/>
        </w:rPr>
        <w:t>》的指标体系及计分规则，本次诊断综合评分为：</w:t>
      </w:r>
      <w:bookmarkStart w:id="8" w:name="TotalScore"/>
      <w:r>
        <w:rPr>
          <w:rFonts w:hint="eastAsia"/>
          <w:color w:val="2ECC8B"/>
          <w:sz w:val="24"/>
          <w:rtl w:val="0"/>
          <w:lang w:val="en-US" w:eastAsia="zh-CN"/>
        </w:rPr>
        <w:t>42</w:t>
      </w:r>
      <w:r>
        <w:rPr>
          <w:color w:val="2ECC8B"/>
          <w:sz w:val="24"/>
          <w:rtl w:val="0"/>
        </w:rPr>
        <w:t>.</w:t>
      </w:r>
      <w:r>
        <w:rPr>
          <w:rFonts w:hint="eastAsia"/>
          <w:color w:val="2ECC8B"/>
          <w:sz w:val="24"/>
          <w:rtl w:val="0"/>
          <w:lang w:val="en-US" w:eastAsia="zh-CN"/>
        </w:rPr>
        <w:t>3</w:t>
      </w:r>
      <w:r>
        <w:rPr>
          <w:color w:val="2ECC8B"/>
          <w:sz w:val="24"/>
          <w:rtl w:val="0"/>
        </w:rPr>
        <w:t>8分</w:t>
      </w:r>
      <w:bookmarkEnd w:id="8"/>
      <w:r>
        <w:rPr>
          <w:rFonts w:hint="eastAsia"/>
          <w:sz w:val="24"/>
          <w:szCs w:val="24"/>
        </w:rPr>
        <w:t>，其中量化指标得分为</w:t>
      </w:r>
      <w:bookmarkStart w:id="9" w:name="QuantitativeScore"/>
      <w:r>
        <w:rPr>
          <w:rFonts w:hint="eastAsia"/>
          <w:sz w:val="24"/>
          <w:szCs w:val="24"/>
          <w:lang w:val="en-US" w:eastAsia="zh-CN"/>
        </w:rPr>
        <w:t>42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8</w:t>
      </w:r>
      <w:bookmarkEnd w:id="9"/>
      <w:r>
        <w:rPr>
          <w:rFonts w:hint="eastAsia"/>
          <w:sz w:val="24"/>
          <w:szCs w:val="24"/>
        </w:rPr>
        <w:t>分（合格：</w:t>
      </w: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个，预警：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个，不合格：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个），标志性成果达成度为</w:t>
      </w:r>
      <w:bookmarkStart w:id="10" w:name="ProductiveRate"/>
      <w:r>
        <w:rPr>
          <w:rFonts w:hint="eastAsia"/>
          <w:sz w:val="24"/>
          <w:szCs w:val="24"/>
        </w:rPr>
        <w:t>0</w:t>
      </w:r>
      <w:bookmarkEnd w:id="10"/>
      <w:r>
        <w:rPr>
          <w:rFonts w:hint="eastAsia"/>
          <w:sz w:val="24"/>
          <w:szCs w:val="24"/>
        </w:rPr>
        <w:t>%（国家级：</w:t>
      </w:r>
      <w:bookmarkStart w:id="11" w:name="GradeNational"/>
      <w:r>
        <w:rPr>
          <w:rFonts w:hint="eastAsia"/>
          <w:sz w:val="24"/>
          <w:szCs w:val="24"/>
        </w:rPr>
        <w:t>0</w:t>
      </w:r>
      <w:bookmarkEnd w:id="11"/>
      <w:r>
        <w:rPr>
          <w:rFonts w:hint="eastAsia"/>
          <w:sz w:val="24"/>
          <w:szCs w:val="24"/>
        </w:rPr>
        <w:t>个，省级：</w:t>
      </w:r>
      <w:bookmarkStart w:id="12" w:name="GradeProvincial"/>
      <w:r>
        <w:rPr>
          <w:rFonts w:hint="eastAsia"/>
          <w:sz w:val="24"/>
          <w:szCs w:val="24"/>
        </w:rPr>
        <w:t>0</w:t>
      </w:r>
      <w:bookmarkEnd w:id="12"/>
      <w:r>
        <w:rPr>
          <w:rFonts w:hint="eastAsia"/>
          <w:sz w:val="24"/>
          <w:szCs w:val="24"/>
        </w:rPr>
        <w:t>个，</w:t>
      </w:r>
      <w:r>
        <w:rPr>
          <w:sz w:val="24"/>
          <w:szCs w:val="24"/>
        </w:rPr>
        <w:t>地市级</w:t>
      </w:r>
      <w:r>
        <w:rPr>
          <w:rFonts w:hint="eastAsia"/>
          <w:sz w:val="24"/>
          <w:szCs w:val="24"/>
        </w:rPr>
        <w:t>：</w:t>
      </w:r>
      <w:bookmarkStart w:id="13" w:name="GradeCity"/>
      <w:r>
        <w:rPr>
          <w:rFonts w:hint="eastAsia"/>
          <w:sz w:val="24"/>
          <w:szCs w:val="24"/>
        </w:rPr>
        <w:t>0</w:t>
      </w:r>
      <w:bookmarkEnd w:id="13"/>
      <w:r>
        <w:rPr>
          <w:rFonts w:hint="eastAsia"/>
          <w:sz w:val="24"/>
          <w:szCs w:val="24"/>
        </w:rPr>
        <w:t>，院校级：</w:t>
      </w:r>
      <w:bookmarkStart w:id="14" w:name="GradeUniversities"/>
      <w:r>
        <w:rPr>
          <w:rFonts w:hint="eastAsia"/>
          <w:sz w:val="24"/>
          <w:szCs w:val="24"/>
        </w:rPr>
        <w:t>0</w:t>
      </w:r>
      <w:bookmarkEnd w:id="14"/>
      <w:r>
        <w:rPr>
          <w:rFonts w:hint="eastAsia"/>
          <w:sz w:val="24"/>
          <w:szCs w:val="24"/>
        </w:rPr>
        <w:t>个）。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本次诊断</w:t>
      </w:r>
      <w:r>
        <w:rPr>
          <w:rFonts w:hint="eastAsia"/>
          <w:sz w:val="24"/>
          <w:szCs w:val="24"/>
          <w:lang w:eastAsia="zh-CN"/>
        </w:rPr>
        <w:t>产品造型设计</w:t>
      </w:r>
      <w:r>
        <w:rPr>
          <w:rFonts w:hint="eastAsia"/>
          <w:sz w:val="24"/>
          <w:szCs w:val="24"/>
        </w:rPr>
        <w:t xml:space="preserve">专业位列第 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 xml:space="preserve"> 名，诊断结论为：</w:t>
      </w:r>
      <w:bookmarkStart w:id="15" w:name="WarningGrade"/>
      <w:r>
        <w:rPr>
          <w:b/>
          <w:color w:val="2ECC8B"/>
          <w:sz w:val="24"/>
          <w:rtl w:val="0"/>
        </w:rPr>
        <w:t>不</w:t>
      </w:r>
      <w:r>
        <w:rPr>
          <w:rFonts w:hint="eastAsia"/>
          <w:b/>
          <w:color w:val="2ECC8B"/>
          <w:sz w:val="24"/>
          <w:rtl w:val="0"/>
          <w:lang w:eastAsia="zh-CN"/>
        </w:rPr>
        <w:t>合</w:t>
      </w:r>
      <w:r>
        <w:rPr>
          <w:b/>
          <w:color w:val="2ECC8B"/>
          <w:sz w:val="24"/>
          <w:rtl w:val="0"/>
        </w:rPr>
        <w:t>格</w:t>
      </w:r>
      <w:bookmarkEnd w:id="15"/>
      <w:r>
        <w:rPr>
          <w:rFonts w:hint="eastAsia"/>
          <w:sz w:val="24"/>
          <w:szCs w:val="24"/>
        </w:rPr>
        <w:t>。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1390650"/>
            <wp:effectExtent l="0" t="0" r="8890" b="0"/>
            <wp:docPr id="1" name="图片 1" descr="e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har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图1 得分对比分析</w:t>
      </w:r>
    </w:p>
    <w:p>
      <w:pPr>
        <w:jc w:val="center"/>
        <w:rPr>
          <w:sz w:val="24"/>
          <w:szCs w:val="24"/>
        </w:rPr>
      </w:pPr>
    </w:p>
    <w:p>
      <w:pPr>
        <w:pStyle w:val="3"/>
        <w:numPr>
          <w:ilvl w:val="0"/>
          <w:numId w:val="2"/>
        </w:numPr>
      </w:pPr>
      <w:bookmarkStart w:id="16" w:name="_Toc493866826"/>
      <w:bookmarkStart w:id="17" w:name="_Toc28269"/>
      <w:r>
        <w:rPr>
          <w:rFonts w:hint="eastAsia"/>
        </w:rPr>
        <w:t>合格率分析</w:t>
      </w:r>
      <w:bookmarkEnd w:id="16"/>
      <w:bookmarkEnd w:id="17"/>
    </w:p>
    <w:p>
      <w:pPr>
        <w:spacing w:line="360" w:lineRule="auto"/>
        <w:ind w:firstLine="480"/>
        <w:rPr>
          <w:sz w:val="24"/>
          <w:szCs w:val="24"/>
        </w:rPr>
      </w:pPr>
      <w:bookmarkStart w:id="18" w:name="QualifiedAnalysis"/>
      <w:r>
        <w:rPr>
          <w:rFonts w:hint="eastAsia"/>
          <w:sz w:val="24"/>
          <w:szCs w:val="24"/>
        </w:rPr>
        <w:t>本次从</w:t>
      </w:r>
      <w:r>
        <w:rPr>
          <w:rFonts w:hint="eastAsia"/>
          <w:sz w:val="24"/>
          <w:szCs w:val="24"/>
          <w:lang w:eastAsia="zh-CN"/>
        </w:rPr>
        <w:t>专业建设规划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专业诊改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课程建设规划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课程诊改效果</w:t>
      </w:r>
      <w:r>
        <w:rPr>
          <w:rFonts w:hint="eastAsia"/>
          <w:sz w:val="24"/>
          <w:szCs w:val="24"/>
        </w:rPr>
        <w:t>这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大方面对图形图像制作诊断，总体达标率为</w:t>
      </w:r>
      <w:bookmarkEnd w:id="18"/>
      <w:bookmarkStart w:id="19" w:name="QualifiedRate"/>
      <w:r>
        <w:rPr>
          <w:rFonts w:hint="eastAsia"/>
          <w:b/>
          <w:sz w:val="24"/>
          <w:szCs w:val="24"/>
          <w:lang w:val="en-US" w:eastAsia="zh-CN"/>
        </w:rPr>
        <w:t>62.5</w:t>
      </w:r>
      <w:r>
        <w:rPr>
          <w:rFonts w:hint="eastAsia"/>
          <w:b/>
          <w:sz w:val="24"/>
          <w:szCs w:val="24"/>
        </w:rPr>
        <w:t>%</w:t>
      </w:r>
      <w:bookmarkEnd w:id="19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0"/>
        <w:jc w:val="center"/>
        <w:rPr>
          <w:sz w:val="24"/>
          <w:szCs w:val="24"/>
        </w:rPr>
      </w:pPr>
      <w:r>
        <w:drawing>
          <wp:inline distT="0" distB="0" distL="114300" distR="114300">
            <wp:extent cx="4142740" cy="3161665"/>
            <wp:effectExtent l="0" t="0" r="10160" b="635"/>
            <wp:docPr id="2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图2 各诊断项目合格率分析</w:t>
      </w:r>
    </w:p>
    <w:p>
      <w:pPr>
        <w:spacing w:line="360" w:lineRule="auto"/>
        <w:ind w:firstLine="480"/>
        <w:rPr>
          <w:sz w:val="24"/>
          <w:szCs w:val="24"/>
        </w:rPr>
      </w:pPr>
    </w:p>
    <w:p>
      <w:pPr>
        <w:pStyle w:val="3"/>
        <w:numPr>
          <w:ilvl w:val="0"/>
          <w:numId w:val="2"/>
        </w:numPr>
      </w:pPr>
      <w:bookmarkStart w:id="20" w:name="_Toc19027"/>
      <w:r>
        <w:rPr>
          <w:rFonts w:hint="eastAsia"/>
        </w:rPr>
        <w:t>问题描述及改进意见</w:t>
      </w:r>
      <w:bookmarkEnd w:id="20"/>
    </w:p>
    <w:p>
      <w:pPr>
        <w:numPr>
          <w:ilvl w:val="0"/>
          <w:numId w:val="3"/>
        </w:numPr>
        <w:ind w:left="420" w:hanging="360"/>
        <w:rPr>
          <w:b/>
          <w:sz w:val="24"/>
          <w:szCs w:val="24"/>
        </w:rPr>
      </w:pPr>
      <w:bookmarkStart w:id="21" w:name="Problems"/>
      <w:r>
        <w:rPr>
          <w:b/>
          <w:sz w:val="24"/>
          <w:szCs w:val="24"/>
        </w:rPr>
        <w:t>校企合作有待进一步拓展，服务能力有待提升，校企合作成果不够突出</w:t>
      </w:r>
    </w:p>
    <w:p>
      <w:pPr>
        <w:numPr>
          <w:ilvl w:val="0"/>
          <w:numId w:val="0"/>
        </w:numPr>
        <w:tabs>
          <w:tab w:val="left" w:pos="720"/>
        </w:tabs>
        <w:spacing w:before="100" w:after="100"/>
        <w:ind w:left="420" w:hanging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</w:t>
      </w:r>
      <w:r>
        <w:rPr>
          <w:rFonts w:hint="eastAsia"/>
          <w:b w:val="0"/>
          <w:color w:val="FF0000"/>
          <w:sz w:val="24"/>
          <w:szCs w:val="24"/>
        </w:rPr>
        <w:t>问题描述：</w:t>
      </w:r>
      <w:r>
        <w:rPr>
          <w:b w:val="0"/>
          <w:sz w:val="24"/>
          <w:szCs w:val="24"/>
        </w:rPr>
        <w:t>专业缺乏和企业的深度合作，企业对专业人才培养的贡献不大，企业对专业的支持程度不够。校企融合程度不高，专业服务社会能力不强。专业科研力量与企业、行业的新技术、新工艺发展速度不匹配，不能很好的为企业、行业发展提供技术方面的支持。</w:t>
      </w:r>
    </w:p>
    <w:p>
      <w:pPr>
        <w:numPr>
          <w:ilvl w:val="0"/>
          <w:numId w:val="0"/>
        </w:numPr>
        <w:tabs>
          <w:tab w:val="left" w:pos="720"/>
        </w:tabs>
        <w:spacing w:before="100" w:after="100"/>
        <w:ind w:left="420" w:hanging="36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  <w:lang w:val="en-US" w:eastAsia="zh-CN"/>
        </w:rPr>
        <w:tab/>
      </w:r>
      <w:bookmarkStart w:id="22" w:name="OLE_LINK1"/>
      <w:r>
        <w:rPr>
          <w:rFonts w:hint="eastAsia"/>
          <w:b w:val="0"/>
          <w:color w:val="00B050"/>
          <w:sz w:val="24"/>
          <w:szCs w:val="24"/>
          <w:lang w:val="en-US" w:eastAsia="zh-CN"/>
        </w:rPr>
        <w:t>改进建议：</w:t>
      </w:r>
      <w:bookmarkEnd w:id="22"/>
      <w:r>
        <w:rPr>
          <w:b w:val="0"/>
          <w:sz w:val="24"/>
          <w:szCs w:val="24"/>
        </w:rPr>
        <w:t>搭建产学研结合的技术推广服务平台，主动面向行业企业开展技术服务、成果转化；瞄准经济社会发展中的重大理论和现实问题开展研究，研究成果对政府决策、政策制定、社会实践等产生重要影响，对社会进步产生积极的推动作用。</w:t>
      </w:r>
    </w:p>
    <w:p>
      <w:pPr>
        <w:numPr>
          <w:ilvl w:val="0"/>
          <w:numId w:val="4"/>
        </w:numPr>
        <w:spacing w:before="100" w:after="100"/>
        <w:ind w:left="420" w:hanging="360"/>
        <w:rPr>
          <w:b w:val="0"/>
          <w:sz w:val="24"/>
          <w:szCs w:val="24"/>
        </w:rPr>
      </w:pPr>
      <w:r>
        <w:rPr>
          <w:b/>
          <w:sz w:val="24"/>
          <w:szCs w:val="24"/>
        </w:rPr>
        <w:t xml:space="preserve"> 学生成长与发展工作不到位，毕业生就业情况有待提高</w:t>
      </w:r>
    </w:p>
    <w:p>
      <w:pPr>
        <w:numPr>
          <w:ilvl w:val="0"/>
          <w:numId w:val="0"/>
        </w:numPr>
        <w:tabs>
          <w:tab w:val="left" w:pos="720"/>
        </w:tabs>
        <w:spacing w:before="100" w:after="100"/>
        <w:ind w:left="420" w:hanging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</w:t>
      </w:r>
      <w:r>
        <w:rPr>
          <w:rFonts w:hint="eastAsia"/>
          <w:b w:val="0"/>
          <w:color w:val="FF0000"/>
          <w:sz w:val="24"/>
          <w:szCs w:val="24"/>
        </w:rPr>
        <w:t>问题描述：</w:t>
      </w:r>
      <w:r>
        <w:rPr>
          <w:b w:val="0"/>
          <w:sz w:val="24"/>
          <w:szCs w:val="24"/>
        </w:rPr>
        <w:t>反映出该校学生在就业市场上的竞争力较低，学生的综合能力不强，学生掌握的知识与能力不能与社会需求同步。专业在人才培养方面，未能真正实现以市场需求为导向，人才培养模式与用人单位实际需求之前存在偏差；在就业指导服务方面，就业服务平台未能给予该专业充分支持，专业的职业发展与指导工作未落实到位。</w:t>
      </w:r>
    </w:p>
    <w:p>
      <w:pPr>
        <w:numPr>
          <w:ilvl w:val="0"/>
          <w:numId w:val="0"/>
        </w:numPr>
        <w:tabs>
          <w:tab w:val="left" w:pos="720"/>
        </w:tabs>
        <w:spacing w:before="100" w:after="100"/>
        <w:ind w:left="420" w:hanging="36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color w:val="00B050"/>
          <w:sz w:val="24"/>
          <w:szCs w:val="24"/>
          <w:lang w:val="en-US" w:eastAsia="zh-CN"/>
        </w:rPr>
        <w:t>改进建议：</w:t>
      </w:r>
      <w:r>
        <w:rPr>
          <w:b w:val="0"/>
          <w:sz w:val="24"/>
          <w:szCs w:val="24"/>
        </w:rPr>
        <w:t>可根据实际产业的发展要求，在日常教学中进一步加强实习实践环节的培养，不断强化学生的实践操作能力，更好地指导学生将所学知识运用于实际领域，从而促进专业技能的提升，增加专业工作岗位的竞争力，提升专业整体的就业质量。同时有针对性的开展学生就业规划指导工作，为学生创业就业提供咨询、指导服务。</w:t>
      </w:r>
    </w:p>
    <w:p>
      <w:pPr>
        <w:numPr>
          <w:ilvl w:val="0"/>
          <w:numId w:val="5"/>
        </w:numPr>
        <w:spacing w:before="100" w:after="100"/>
        <w:ind w:left="420" w:hanging="360"/>
        <w:rPr>
          <w:b w:val="0"/>
          <w:sz w:val="24"/>
          <w:szCs w:val="24"/>
        </w:rPr>
      </w:pPr>
      <w:r>
        <w:rPr>
          <w:b/>
          <w:sz w:val="24"/>
          <w:szCs w:val="24"/>
        </w:rPr>
        <w:t xml:space="preserve"> 实验实训建设重视程度和资源投入不足，实验实训条件不能满足人才培养的需求</w:t>
      </w:r>
    </w:p>
    <w:p>
      <w:pPr>
        <w:numPr>
          <w:ilvl w:val="0"/>
          <w:numId w:val="0"/>
        </w:numPr>
        <w:tabs>
          <w:tab w:val="left" w:pos="720"/>
        </w:tabs>
        <w:spacing w:before="100" w:after="100"/>
        <w:ind w:left="420" w:hanging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</w:t>
      </w:r>
      <w:r>
        <w:rPr>
          <w:rFonts w:hint="eastAsia"/>
          <w:b w:val="0"/>
          <w:color w:val="FF0000"/>
          <w:sz w:val="24"/>
          <w:szCs w:val="24"/>
        </w:rPr>
        <w:t>问题描述：</w:t>
      </w:r>
      <w:r>
        <w:rPr>
          <w:b w:val="0"/>
          <w:sz w:val="24"/>
          <w:szCs w:val="24"/>
        </w:rPr>
        <w:t>专业在实验实训条件方面的投入较少。基础及办学条件较差。对日常教学教育的满足能力较低，影响人才培养的质量。</w:t>
      </w:r>
    </w:p>
    <w:p>
      <w:pPr>
        <w:numPr>
          <w:ilvl w:val="0"/>
          <w:numId w:val="0"/>
        </w:numPr>
        <w:tabs>
          <w:tab w:val="left" w:pos="720"/>
        </w:tabs>
        <w:spacing w:before="100" w:after="100"/>
        <w:ind w:left="420" w:hanging="360"/>
      </w:pPr>
      <w:r>
        <w:rPr>
          <w:rFonts w:hint="eastAsia"/>
          <w:b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color w:val="00B050"/>
          <w:sz w:val="24"/>
          <w:szCs w:val="24"/>
          <w:lang w:val="en-US" w:eastAsia="zh-CN"/>
        </w:rPr>
        <w:t>改进建议：</w:t>
      </w:r>
      <w:r>
        <w:rPr>
          <w:b w:val="0"/>
          <w:sz w:val="24"/>
          <w:szCs w:val="24"/>
        </w:rPr>
        <w:t>加大在实验实训条件上的经费投入。积极寻求政府、企业的支持。努力提升基础办学条件质量，以适应教育教学的需求。</w:t>
      </w:r>
      <w:bookmarkEnd w:id="21"/>
    </w:p>
    <w:p/>
    <w:p>
      <w:pPr>
        <w:pStyle w:val="2"/>
        <w:numPr>
          <w:ilvl w:val="0"/>
          <w:numId w:val="1"/>
        </w:numPr>
        <w:rPr>
          <w:sz w:val="36"/>
          <w:szCs w:val="36"/>
        </w:rPr>
      </w:pPr>
      <w:bookmarkStart w:id="23" w:name="_Toc493866831"/>
      <w:bookmarkStart w:id="24" w:name="_Toc16317"/>
      <w:r>
        <w:rPr>
          <w:rFonts w:hint="eastAsia"/>
          <w:sz w:val="36"/>
          <w:szCs w:val="36"/>
        </w:rPr>
        <w:t>项目</w:t>
      </w:r>
      <w:bookmarkEnd w:id="23"/>
      <w:r>
        <w:rPr>
          <w:rFonts w:hint="eastAsia"/>
          <w:sz w:val="36"/>
          <w:szCs w:val="36"/>
          <w:lang w:eastAsia="zh-CN"/>
        </w:rPr>
        <w:t>详情</w:t>
      </w:r>
      <w:bookmarkEnd w:id="24"/>
    </w:p>
    <w:p>
      <w:pPr>
        <w:pStyle w:val="3"/>
        <w:bidi w:val="0"/>
        <w:spacing w:after="280" w:afterAutospacing="1"/>
      </w:pPr>
      <w:bookmarkStart w:id="25" w:name="IndicatorAnalysis"/>
      <w:bookmarkEnd w:id="25"/>
      <w:bookmarkStart w:id="26" w:name="_Toc11355"/>
      <w:r>
        <w:rPr>
          <w:rtl w:val="0"/>
        </w:rPr>
        <w:t>2.1</w:t>
      </w:r>
      <w:r>
        <w:rPr>
          <w:rFonts w:hint="eastAsia"/>
          <w:rtl w:val="0"/>
        </w:rPr>
        <w:t>专业建设规划</w:t>
      </w:r>
      <w:bookmarkEnd w:id="26"/>
    </w:p>
    <w:p>
      <w:pPr>
        <w:bidi w:val="0"/>
        <w:spacing w:after="280" w:afterAutospacing="1"/>
        <w:rPr>
          <w:color w:val="2ECC8B"/>
          <w:sz w:val="24"/>
        </w:rPr>
      </w:pPr>
      <w:r>
        <w:rPr>
          <w:color w:val="000000"/>
          <w:sz w:val="24"/>
        </w:rPr>
        <w:t xml:space="preserve">    本次从目标与标准， 规划制定与实施， 条件保障</w:t>
      </w:r>
      <w:r>
        <w:rPr>
          <w:rFonts w:hint="eastAsia"/>
          <w:color w:val="000000"/>
          <w:sz w:val="24"/>
        </w:rPr>
        <w:t>这些方面对专业建设规划</w:t>
      </w:r>
      <w:r>
        <w:rPr>
          <w:color w:val="000000"/>
          <w:sz w:val="24"/>
        </w:rPr>
        <w:t>进行</w:t>
      </w:r>
      <w:r>
        <w:rPr>
          <w:rFonts w:hint="eastAsia"/>
          <w:color w:val="000000"/>
          <w:sz w:val="24"/>
          <w:lang w:eastAsia="zh-CN"/>
        </w:rPr>
        <w:t>了</w:t>
      </w:r>
      <w:r>
        <w:rPr>
          <w:color w:val="000000"/>
          <w:sz w:val="24"/>
        </w:rPr>
        <w:t>诊断，总体达标率为</w:t>
      </w:r>
      <w:r>
        <w:rPr>
          <w:color w:val="2ECC8B"/>
          <w:sz w:val="24"/>
        </w:rPr>
        <w:t>80.77%</w:t>
      </w:r>
      <w:r>
        <w:rPr>
          <w:rFonts w:hint="eastAsia"/>
          <w:color w:val="2ECC8B"/>
          <w:sz w:val="24"/>
          <w:lang w:val="en-US" w:eastAsia="zh-CN"/>
        </w:rPr>
        <w:t xml:space="preserve"> </w:t>
      </w:r>
      <w:r>
        <w:rPr>
          <w:rFonts w:hint="eastAsia"/>
          <w:color w:val="000000"/>
          <w:sz w:val="24"/>
          <w:lang w:eastAsia="zh-CN"/>
        </w:rPr>
        <w:t>结论为：</w:t>
      </w:r>
      <w:r>
        <w:rPr>
          <w:color w:val="2ECC8B"/>
          <w:sz w:val="24"/>
        </w:rPr>
        <w:t>合格，请持续保持</w:t>
      </w:r>
      <w:r>
        <w:rPr>
          <w:rFonts w:hint="eastAsia"/>
          <w:color w:val="2ECC8B"/>
          <w:sz w:val="24"/>
          <w:lang w:eastAsia="zh-CN"/>
        </w:rPr>
        <w:t>。</w:t>
      </w:r>
    </w:p>
    <w:p>
      <w:pPr>
        <w:bidi w:val="0"/>
        <w:spacing w:after="280" w:afterAutospacing="1"/>
        <w:rPr>
          <w:color w:val="2ECC8B"/>
          <w:sz w:val="24"/>
        </w:rPr>
      </w:pPr>
      <w:r>
        <w:rPr>
          <w:color w:val="000000"/>
          <w:sz w:val="24"/>
        </w:rPr>
        <w:t>诊断要素的诊断情况如下：</w:t>
      </w:r>
    </w:p>
    <w:p>
      <w:pPr>
        <w:bidi w:val="0"/>
        <w:spacing w:after="280" w:afterAutospacing="1"/>
        <w:rPr>
          <w:color w:val="000000"/>
          <w:sz w:val="24"/>
        </w:rPr>
      </w:pPr>
      <w:r>
        <w:rPr>
          <w:b w:val="0"/>
          <w:color w:val="000000"/>
          <w:sz w:val="24"/>
        </w:rPr>
        <w:drawing>
          <wp:inline distT="0" distB="0" distL="114300" distR="114300">
            <wp:extent cx="190500" cy="190500"/>
            <wp:effectExtent l="0" t="0" r="0" b="0"/>
            <wp:docPr id="4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 xml:space="preserve">目标与标准  </w:t>
      </w:r>
      <w:r>
        <w:rPr>
          <w:color w:val="000000"/>
          <w:sz w:val="24"/>
        </w:rPr>
        <w:pict>
          <v:shape id="_x0000_i1027" o:spt="75" type="#_x0000_t75" style="height:15pt;width:1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color w:val="000000"/>
          <w:sz w:val="24"/>
        </w:rPr>
        <w:t xml:space="preserve">规划制定与实施   </w:t>
      </w:r>
      <w:r>
        <w:rPr>
          <w:color w:val="000000"/>
          <w:sz w:val="24"/>
        </w:rPr>
        <w:pict>
          <v:shape id="_x0000_i1029" o:spt="75" type="#_x0000_t75" style="height:15pt;width:1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color w:val="000000"/>
          <w:sz w:val="24"/>
        </w:rPr>
        <w:t xml:space="preserve">条件保障  </w:t>
      </w:r>
    </w:p>
    <w:p>
      <w:pPr>
        <w:bidi w:val="0"/>
        <w:spacing w:after="280" w:afterAutospacing="1"/>
        <w:rPr>
          <w:color w:val="000000"/>
          <w:sz w:val="24"/>
        </w:rPr>
      </w:pPr>
      <w:r>
        <w:rPr>
          <w:color w:val="000000"/>
          <w:sz w:val="24"/>
        </w:rPr>
        <w:t>该项目存在的主要问题为：</w:t>
      </w:r>
    </w:p>
    <w:p>
      <w:pPr>
        <w:numPr>
          <w:ilvl w:val="0"/>
          <w:numId w:val="6"/>
        </w:numPr>
        <w:bidi w:val="0"/>
        <w:spacing w:after="280" w:afterAutospacing="1"/>
        <w:ind w:left="600"/>
        <w:rPr>
          <w:color w:val="000000"/>
          <w:sz w:val="24"/>
        </w:rPr>
      </w:pPr>
      <w:r>
        <w:rPr>
          <w:b/>
          <w:color w:val="000000"/>
          <w:sz w:val="24"/>
        </w:rPr>
        <w:t>教师企业实践经验不足</w:t>
      </w:r>
    </w:p>
    <w:p>
      <w:pPr>
        <w:numPr>
          <w:ilvl w:val="0"/>
          <w:numId w:val="0"/>
        </w:numPr>
        <w:bidi w:val="0"/>
        <w:spacing w:before="100" w:after="100" w:afterAutospacing="1"/>
        <w:ind w:left="600"/>
        <w:rPr>
          <w:b/>
          <w:color w:val="000000"/>
          <w:sz w:val="24"/>
        </w:rPr>
      </w:pPr>
      <w:r>
        <w:rPr>
          <w:b w:val="0"/>
          <w:color w:val="000000"/>
          <w:sz w:val="24"/>
        </w:rPr>
        <w:t>从一定程度上反映出本专业专任教师中具有企业、行业经验的教师数量偏低。教师企业经验不足，不愿进入企业实践，在教学工作中，容易与企业需求脱节。导致学生掌握的各项技能与用人单位需求产生偏差，不利于学生的就业。</w:t>
      </w:r>
    </w:p>
    <w:p>
      <w:pPr>
        <w:numPr>
          <w:ilvl w:val="0"/>
          <w:numId w:val="7"/>
        </w:numPr>
        <w:bidi w:val="0"/>
        <w:spacing w:before="100" w:after="100" w:afterAutospacing="1"/>
        <w:ind w:left="600"/>
        <w:rPr>
          <w:b w:val="0"/>
          <w:color w:val="000000"/>
          <w:sz w:val="24"/>
        </w:rPr>
      </w:pPr>
      <w:r>
        <w:rPr>
          <w:b/>
          <w:color w:val="000000"/>
          <w:sz w:val="24"/>
        </w:rPr>
        <w:t>教学工作任务较重，教学质量不高</w:t>
      </w:r>
    </w:p>
    <w:p>
      <w:pPr>
        <w:numPr>
          <w:ilvl w:val="0"/>
          <w:numId w:val="0"/>
        </w:numPr>
        <w:bidi w:val="0"/>
        <w:spacing w:before="100" w:after="100" w:afterAutospacing="1"/>
        <w:ind w:left="600"/>
        <w:rPr>
          <w:b/>
          <w:color w:val="000000"/>
          <w:sz w:val="24"/>
        </w:rPr>
      </w:pPr>
      <w:r>
        <w:rPr>
          <w:b w:val="0"/>
          <w:color w:val="000000"/>
          <w:sz w:val="24"/>
        </w:rPr>
        <w:t>专任教师平均周学时较高，教学任务较重。同时教学前期准备工作不足，教学质量不高，督导反馈评分偏低</w:t>
      </w:r>
      <w:r>
        <w:rPr>
          <w:rFonts w:hint="eastAsia"/>
          <w:b w:val="0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bidi w:val="0"/>
        <w:spacing w:before="100" w:after="100" w:afterAutospacing="1"/>
        <w:ind w:left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改进建议为：</w:t>
      </w:r>
    </w:p>
    <w:p>
      <w:pPr>
        <w:numPr>
          <w:ilvl w:val="0"/>
          <w:numId w:val="8"/>
        </w:numPr>
        <w:bidi w:val="0"/>
        <w:spacing w:before="100" w:after="100" w:afterAutospacing="1"/>
        <w:ind w:left="600"/>
        <w:rPr>
          <w:b w:val="0"/>
          <w:color w:val="000000"/>
          <w:sz w:val="24"/>
        </w:rPr>
      </w:pPr>
      <w:r>
        <w:rPr>
          <w:b/>
          <w:color w:val="000000"/>
          <w:sz w:val="24"/>
        </w:rPr>
        <w:t>加强和企业的沟通联系，强化教师企业实践</w:t>
      </w:r>
    </w:p>
    <w:p>
      <w:pPr>
        <w:numPr>
          <w:ilvl w:val="0"/>
          <w:numId w:val="0"/>
        </w:numPr>
        <w:bidi w:val="0"/>
        <w:spacing w:before="100" w:after="100" w:afterAutospacing="1"/>
        <w:ind w:left="600"/>
        <w:rPr>
          <w:b/>
          <w:color w:val="000000"/>
          <w:sz w:val="24"/>
        </w:rPr>
      </w:pPr>
      <w:r>
        <w:rPr>
          <w:b w:val="0"/>
          <w:color w:val="000000"/>
          <w:sz w:val="24"/>
        </w:rPr>
        <w:t>从专业层面，加强与企业之间的互动，组织教师到与专业相融合的行业、企业顶岗实践。实行专业教师挂职锻炼制度，并监控教师下企业情况，将理论与实践紧密的结合起来。充分发挥校企双方的资源特色，共促人才培养提高。</w:t>
      </w:r>
    </w:p>
    <w:p>
      <w:pPr>
        <w:numPr>
          <w:ilvl w:val="0"/>
          <w:numId w:val="9"/>
        </w:numPr>
        <w:bidi w:val="0"/>
        <w:spacing w:before="100" w:after="100" w:afterAutospacing="1"/>
        <w:ind w:left="600"/>
        <w:rPr>
          <w:b w:val="0"/>
          <w:color w:val="000000"/>
          <w:sz w:val="24"/>
        </w:rPr>
      </w:pPr>
      <w:r>
        <w:rPr>
          <w:b/>
          <w:color w:val="000000"/>
          <w:sz w:val="24"/>
        </w:rPr>
        <w:t>合理安排教学任务，加强教学质量监控</w:t>
      </w:r>
    </w:p>
    <w:p>
      <w:pPr>
        <w:numPr>
          <w:ilvl w:val="0"/>
          <w:numId w:val="0"/>
        </w:numPr>
        <w:bidi w:val="0"/>
        <w:spacing w:before="100" w:after="100" w:afterAutospacing="1"/>
        <w:ind w:left="600"/>
        <w:rPr>
          <w:b/>
          <w:color w:val="000000"/>
          <w:sz w:val="24"/>
        </w:rPr>
      </w:pPr>
      <w:r>
        <w:rPr>
          <w:b w:val="0"/>
          <w:color w:val="000000"/>
          <w:sz w:val="24"/>
        </w:rPr>
        <w:t>加强优质教师引进，减轻教师教学工作量。加强教师课前备课准备工作监督，提高教师工作量</w:t>
      </w:r>
      <w:r>
        <w:rPr>
          <w:rFonts w:hint="eastAsia"/>
          <w:b w:val="0"/>
          <w:color w:val="000000"/>
          <w:sz w:val="24"/>
          <w:lang w:eastAsia="zh-CN"/>
        </w:rPr>
        <w:t>。</w:t>
      </w:r>
    </w:p>
    <w:p>
      <w:pPr>
        <w:numPr>
          <w:ilvl w:val="0"/>
          <w:numId w:val="0"/>
        </w:numPr>
        <w:bidi w:val="0"/>
        <w:spacing w:before="100" w:after="100" w:afterAutospacing="1"/>
        <w:ind w:left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教师情况诊断诊断项目中所包含指标及分析情况如下：</w:t>
      </w:r>
    </w:p>
    <w:p>
      <w:pPr>
        <w:pStyle w:val="4"/>
        <w:bidi w:val="0"/>
        <w:spacing w:after="280" w:afterAutospacing="1"/>
        <w:rPr>
          <w:b w:val="0"/>
          <w:color w:val="000000"/>
          <w:sz w:val="24"/>
        </w:rPr>
      </w:pPr>
      <w:bookmarkStart w:id="27" w:name="_Toc1889"/>
      <w:r>
        <w:rPr>
          <w:rtl w:val="0"/>
        </w:rPr>
        <w:t>2.1.1</w:t>
      </w:r>
      <w:r>
        <w:rPr>
          <w:rFonts w:hint="eastAsia"/>
          <w:rtl w:val="0"/>
        </w:rPr>
        <w:t xml:space="preserve"> 具有高级职务教师占专任教师的比例（%）</w:t>
      </w:r>
      <w:bookmarkEnd w:id="27"/>
    </w:p>
    <w:p>
      <w:pPr>
        <w:bidi w:val="0"/>
        <w:spacing w:after="280" w:afterAutospacing="1"/>
        <w:ind w:firstLine="520"/>
        <w:rPr>
          <w:b w:val="0"/>
          <w:color w:val="000000"/>
          <w:sz w:val="24"/>
        </w:rPr>
      </w:pPr>
      <w:r>
        <w:rPr>
          <w:rFonts w:hint="eastAsia"/>
          <w:b w:val="0"/>
          <w:color w:val="000000"/>
          <w:sz w:val="24"/>
        </w:rPr>
        <w:t>高级职务教师少于占比偏少</w:t>
      </w:r>
      <w:r>
        <w:rPr>
          <w:b w:val="0"/>
          <w:color w:val="000000"/>
          <w:sz w:val="24"/>
        </w:rPr>
        <w:t>，较本专业2018年03月（36）基本持平，比合格值（25）高11，在全校专业中处于较好水平，诊断结论为</w:t>
      </w:r>
      <w:r>
        <w:rPr>
          <w:rFonts w:hint="eastAsia"/>
          <w:b w:val="0"/>
          <w:color w:val="000000"/>
          <w:sz w:val="24"/>
          <w:lang w:eastAsia="zh-CN"/>
        </w:rPr>
        <w:t>不</w:t>
      </w:r>
      <w:r>
        <w:rPr>
          <w:b w:val="0"/>
          <w:color w:val="000000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5" name="图片 5" descr="e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char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图3</w:t>
      </w:r>
      <w:r>
        <w:rPr>
          <w:rFonts w:hint="eastAsia"/>
          <w:sz w:val="21"/>
          <w:rtl w:val="0"/>
        </w:rPr>
        <w:t>具有高级职务教师占专任教师的比例（%）</w:t>
      </w:r>
    </w:p>
    <w:p>
      <w:pPr>
        <w:pStyle w:val="4"/>
        <w:bidi w:val="0"/>
        <w:spacing w:after="280" w:afterAutospacing="1"/>
        <w:jc w:val="left"/>
      </w:pPr>
      <w:bookmarkStart w:id="28" w:name="_Toc15714"/>
      <w:r>
        <w:rPr>
          <w:rtl w:val="0"/>
        </w:rPr>
        <w:t>2.1.2</w:t>
      </w:r>
      <w:r>
        <w:rPr>
          <w:rFonts w:hint="eastAsia"/>
          <w:rtl w:val="0"/>
        </w:rPr>
        <w:t>生均占地面积（㎡/生）</w:t>
      </w:r>
      <w:bookmarkEnd w:id="28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</w:t>
      </w:r>
      <w:r>
        <w:rPr>
          <w:rFonts w:hint="eastAsia"/>
          <w:b w:val="0"/>
          <w:color w:val="000000"/>
          <w:sz w:val="24"/>
        </w:rPr>
        <w:t>生均占地面积（㎡/生）</w:t>
      </w:r>
      <w:r>
        <w:rPr>
          <w:b w:val="0"/>
          <w:color w:val="000000"/>
          <w:sz w:val="24"/>
        </w:rPr>
        <w:t>为</w:t>
      </w:r>
      <w:r>
        <w:rPr>
          <w:rFonts w:hint="eastAsia"/>
          <w:b w:val="0"/>
          <w:color w:val="000000"/>
          <w:sz w:val="24"/>
          <w:lang w:val="en-US" w:eastAsia="zh-CN"/>
        </w:rPr>
        <w:t>54.74</w:t>
      </w:r>
      <w:r>
        <w:rPr>
          <w:b w:val="0"/>
          <w:color w:val="000000"/>
          <w:sz w:val="24"/>
        </w:rPr>
        <w:t>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6" name="图片 6" descr="echarts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charts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图4</w:t>
      </w:r>
      <w:r>
        <w:rPr>
          <w:rFonts w:hint="eastAsia"/>
          <w:rtl w:val="0"/>
        </w:rPr>
        <w:t>生均占地面积（㎡/生）</w:t>
      </w:r>
    </w:p>
    <w:p>
      <w:pPr>
        <w:pStyle w:val="4"/>
        <w:bidi w:val="0"/>
        <w:spacing w:after="280" w:afterAutospacing="1"/>
        <w:jc w:val="left"/>
      </w:pPr>
      <w:bookmarkStart w:id="29" w:name="_Toc2323"/>
      <w:r>
        <w:rPr>
          <w:rtl w:val="0"/>
        </w:rPr>
        <w:t>2.1.3</w:t>
      </w:r>
      <w:r>
        <w:rPr>
          <w:rFonts w:hint="eastAsia"/>
          <w:rtl w:val="0"/>
        </w:rPr>
        <w:t>专任教师获专利技术专利数占专任教师数（%）</w:t>
      </w:r>
      <w:bookmarkEnd w:id="29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本专业2018年04月男性教师占比为41.67%，较本专业2018年03月（41.67%）基本持平，比合格值（56%）低14.33%，在全校专业中处于较好水平，诊断结论为</w:t>
      </w:r>
      <w:r>
        <w:rPr>
          <w:rFonts w:hint="eastAsia"/>
          <w:b w:val="0"/>
          <w:color w:val="FF0000"/>
          <w:sz w:val="24"/>
          <w:lang w:eastAsia="zh-CN"/>
        </w:rPr>
        <w:t>不</w:t>
      </w:r>
      <w:r>
        <w:rPr>
          <w:b w:val="0"/>
          <w:color w:val="FF0000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8" name="图片 8" descr="e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char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图5</w:t>
      </w:r>
      <w:r>
        <w:rPr>
          <w:rFonts w:hint="eastAsia"/>
          <w:rtl w:val="0"/>
        </w:rPr>
        <w:t>专任教师获专利技术专利数占专任教师数（%）</w:t>
      </w:r>
    </w:p>
    <w:p>
      <w:pPr>
        <w:pStyle w:val="4"/>
        <w:bidi w:val="0"/>
        <w:spacing w:after="280" w:afterAutospacing="1"/>
        <w:jc w:val="left"/>
      </w:pPr>
      <w:bookmarkStart w:id="30" w:name="_Toc21523"/>
      <w:r>
        <w:rPr>
          <w:rtl w:val="0"/>
        </w:rPr>
        <w:t>2.1.4毕业生对母校的满意度</w:t>
      </w:r>
      <w:bookmarkEnd w:id="30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本专业2018年04月35岁及以下年龄教师占比为55.56%，较本专业2018年03月（55.56%）基本持平，比合格值（37%）高18.56%，在全校专业中处于较好水平，诊断结论为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9" name="图片 9" descr="echarts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charts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图6毕业生对母校的满意度</w:t>
      </w:r>
    </w:p>
    <w:p>
      <w:pPr>
        <w:pStyle w:val="4"/>
        <w:bidi w:val="0"/>
        <w:spacing w:after="280" w:afterAutospacing="1"/>
        <w:jc w:val="left"/>
      </w:pPr>
      <w:bookmarkStart w:id="31" w:name="_Toc17224"/>
      <w:r>
        <w:rPr>
          <w:rtl w:val="0"/>
        </w:rPr>
        <w:t>2.1.5各级各类创新创业技能大赛获得高等级奖项</w:t>
      </w:r>
      <w:bookmarkEnd w:id="31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本专业2018年04月具有中、高级职务教师占专任教师的比例(%)为71.43%，较本专业2018年03月（71.43%）基本持平，比合格值（54%）高17.43%，在全校专业中处于较好水平，诊断结论为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10" name="图片 10" descr="echarts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charts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图7各级各类创新创业技能大赛获得高等级奖项</w:t>
      </w:r>
    </w:p>
    <w:p>
      <w:pPr>
        <w:pStyle w:val="4"/>
        <w:bidi w:val="0"/>
        <w:spacing w:after="280" w:afterAutospacing="1"/>
        <w:jc w:val="left"/>
      </w:pPr>
      <w:bookmarkStart w:id="32" w:name="_Toc13756"/>
      <w:r>
        <w:rPr>
          <w:rtl w:val="0"/>
        </w:rPr>
        <w:t>2.1.6毕业生的教学满意度</w:t>
      </w:r>
      <w:bookmarkEnd w:id="32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本专业2018年04月教师职业资格证书获取率为63.89%，较本专业2018年03月（63.89%）基本持平，比合格值（65%）低1.11%，在全校专业中处于较好水平，诊断结论为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11" name="图片 11" descr="echarts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charts(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图8毕业生的教学满意度</w:t>
      </w:r>
    </w:p>
    <w:p>
      <w:pPr>
        <w:pStyle w:val="4"/>
        <w:bidi w:val="0"/>
        <w:spacing w:after="280" w:afterAutospacing="1"/>
        <w:jc w:val="left"/>
      </w:pPr>
      <w:bookmarkStart w:id="33" w:name="_Toc19481"/>
      <w:r>
        <w:rPr>
          <w:rtl w:val="0"/>
        </w:rPr>
        <w:t>2.1.7硕士研究生以上学历教师比例</w:t>
      </w:r>
      <w:bookmarkEnd w:id="33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本专业2018年04月硕士研究生以上学历教师比例为69.44%，较本专业2018年03月（69.44%）基本持平，比合格值（20%）高49.44%，在全校专业中处于较好水平，诊断结论为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37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图9硕士研究生以上学历教师比例</w:t>
      </w:r>
    </w:p>
    <w:p>
      <w:pPr>
        <w:pStyle w:val="4"/>
        <w:bidi w:val="0"/>
        <w:spacing w:after="280" w:afterAutospacing="1"/>
        <w:jc w:val="left"/>
      </w:pPr>
      <w:bookmarkStart w:id="34" w:name="_Toc30218"/>
      <w:r>
        <w:rPr>
          <w:rtl w:val="0"/>
        </w:rPr>
        <w:t>2.1.8专任教师占比</w:t>
      </w:r>
      <w:bookmarkEnd w:id="34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本专业2018年04月专任教师占比为77.78%，较本专业2018年03月（77.78%）基本持平，比合格值（65%）高12.78%，在全校专业中处于较好水平，诊断结论为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38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图10专任教师占比</w:t>
      </w:r>
    </w:p>
    <w:p>
      <w:pPr>
        <w:pStyle w:val="4"/>
        <w:bidi w:val="0"/>
        <w:spacing w:after="280" w:afterAutospacing="1"/>
        <w:jc w:val="left"/>
      </w:pPr>
      <w:bookmarkStart w:id="35" w:name="_Toc20108"/>
      <w:r>
        <w:rPr>
          <w:rtl w:val="0"/>
        </w:rPr>
        <w:t>2.1.9具有双师素质专任教师数/专任教师数(%)</w:t>
      </w:r>
      <w:bookmarkEnd w:id="35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本专业2018年04月具有双师素质专任教师数/专任教师数(%)为75%，较本专业2018年03月（75%）基本持平，比合格值（56%）高19%，在全校专业中处于较好水平，诊断结论为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22" name="图片 22" descr="echarts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charts(6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图11具有双师素质专任教师数/专任教师数(%)</w:t>
      </w:r>
    </w:p>
    <w:p>
      <w:pPr>
        <w:pStyle w:val="4"/>
        <w:bidi w:val="0"/>
        <w:spacing w:after="280" w:afterAutospacing="1"/>
        <w:jc w:val="left"/>
      </w:pPr>
      <w:bookmarkStart w:id="36" w:name="_Toc10676"/>
      <w:r>
        <w:rPr>
          <w:rtl w:val="0"/>
        </w:rPr>
        <w:t>2.1.10具有行业、企业工作经验教师/专任教师数（%）</w:t>
      </w:r>
      <w:bookmarkEnd w:id="36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本专业2018年04月具有行业、企业工作经验教师/专任教师数（%）为0%，较本专业2018年03月（0%）基本持平，比合格值（8%）低8%，在全校专业中处于较好水平，诊断结论为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pict>
          <v:shape id="_x0000_i1040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图12具有行业、企业工作经验教师/专任教师数（%）</w:t>
      </w:r>
    </w:p>
    <w:p>
      <w:pPr>
        <w:pStyle w:val="4"/>
        <w:bidi w:val="0"/>
        <w:spacing w:after="280" w:afterAutospacing="1"/>
        <w:jc w:val="left"/>
      </w:pPr>
      <w:bookmarkStart w:id="37" w:name="_Toc29476"/>
      <w:r>
        <w:rPr>
          <w:rtl w:val="0"/>
        </w:rPr>
        <w:t>2.1.11省级以上教学名师数</w:t>
      </w:r>
      <w:bookmarkEnd w:id="37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本专业2018年04月省级以上教学名师数为2，较本专业2018年03月（2）基本持平，比合格值（1）高1，在全校专业中处于较好水平，诊断结论为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41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图13省级以上教学名师数</w:t>
      </w:r>
    </w:p>
    <w:p>
      <w:pPr>
        <w:pStyle w:val="4"/>
        <w:bidi w:val="0"/>
        <w:spacing w:after="280" w:afterAutospacing="1"/>
        <w:jc w:val="left"/>
      </w:pPr>
      <w:bookmarkStart w:id="38" w:name="_Toc11084"/>
      <w:r>
        <w:rPr>
          <w:rtl w:val="0"/>
        </w:rPr>
        <w:t>2.1.12专任教师平均周学时（学时）(按38周计算)</w:t>
      </w:r>
      <w:bookmarkEnd w:id="38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本专业2018年04月专任教师平均周学时（学时）(按38周计算)为23.02，较本专业2018年03月（23.02）基本持平，比合格值（20）高3.02，在全校专业中处于较好水平，诊断结论为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23" name="图片 23" descr="echarts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charts(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图14专任教师平均周学时（学时）(按38周计算)</w:t>
      </w:r>
    </w:p>
    <w:p>
      <w:pPr>
        <w:pStyle w:val="4"/>
        <w:bidi w:val="0"/>
        <w:spacing w:after="280" w:afterAutospacing="1"/>
        <w:jc w:val="left"/>
      </w:pPr>
      <w:bookmarkStart w:id="39" w:name="_Toc5594"/>
      <w:r>
        <w:rPr>
          <w:rtl w:val="0"/>
        </w:rPr>
        <w:t>2.1.13月度评价得分满意率</w:t>
      </w:r>
      <w:bookmarkEnd w:id="39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本专业2018年04月月度评价得分满意率为0，比合格值（80）低80，在全校专业中处于较好水平，诊断结论为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pict>
          <v:shape id="_x0000_i1043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图15月度评价得分满意率</w:t>
      </w:r>
    </w:p>
    <w:p>
      <w:pPr>
        <w:pStyle w:val="4"/>
        <w:bidi w:val="0"/>
        <w:spacing w:after="280" w:afterAutospacing="1"/>
        <w:jc w:val="left"/>
      </w:pPr>
      <w:bookmarkStart w:id="40" w:name="_Toc27603"/>
      <w:r>
        <w:rPr>
          <w:rtl w:val="0"/>
        </w:rPr>
        <w:t>2.1.14校外兼职教师学年承担b和c类课程教学工作量占比（%）</w:t>
      </w:r>
      <w:bookmarkEnd w:id="40"/>
      <w:r>
        <w:rPr>
          <w:rtl w:val="0"/>
        </w:rPr>
        <w:t>　</w:t>
      </w:r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本专业2018年04月校外兼职教师学年承担b和c类课程教学工作量占比（%）　为85.23%，较本专业2018年03月（85.23%）基本持平，比合格值（90%）低4.77%，在全校专业中处于较好水平，诊断结论为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pict>
          <v:shape id="_x0000_i1044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图16校外兼职教师学年承担b和c类课程教学工作量占比（%）　</w:t>
      </w:r>
    </w:p>
    <w:p>
      <w:pPr>
        <w:pStyle w:val="4"/>
        <w:bidi w:val="0"/>
        <w:spacing w:after="280" w:afterAutospacing="1"/>
        <w:jc w:val="left"/>
      </w:pPr>
      <w:bookmarkStart w:id="41" w:name="_Toc31978"/>
      <w:r>
        <w:rPr>
          <w:rtl w:val="0"/>
        </w:rPr>
        <w:t>2.1.15督导评分</w:t>
      </w:r>
      <w:bookmarkEnd w:id="41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本专业2018年04月督导评分为90.78，较本专业2018年03月（90.78）基本持平，比合格值（80）高10.78，在全校专业中处于较好水平，诊断结论为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24" name="图片 24" descr="echarts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charts(4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图17督导评分</w:t>
      </w:r>
    </w:p>
    <w:p>
      <w:pPr>
        <w:pStyle w:val="4"/>
        <w:bidi w:val="0"/>
        <w:spacing w:after="280" w:afterAutospacing="1"/>
        <w:jc w:val="left"/>
      </w:pPr>
      <w:bookmarkStart w:id="42" w:name="_Toc21707"/>
      <w:r>
        <w:rPr>
          <w:rtl w:val="0"/>
        </w:rPr>
        <w:t>2.1.16教师授课计划编写率（%）</w:t>
      </w:r>
      <w:bookmarkEnd w:id="42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本专业2018年04月教师授课计划编写率（%）为100%，较本专业2018年03月（100%）基本持平，比合格值（95%）高5%，在全校专业中处于较好水平，诊断结论为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46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图18教师授课计划编写率（%）</w:t>
      </w:r>
    </w:p>
    <w:p>
      <w:pPr>
        <w:pStyle w:val="4"/>
        <w:bidi w:val="0"/>
        <w:spacing w:after="280" w:afterAutospacing="1"/>
        <w:jc w:val="left"/>
      </w:pPr>
      <w:bookmarkStart w:id="43" w:name="_Toc7974"/>
      <w:r>
        <w:rPr>
          <w:rtl w:val="0"/>
        </w:rPr>
        <w:t>2.1.17教学事故次数</w:t>
      </w:r>
      <w:bookmarkEnd w:id="43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本专业2018年04月教学事故次数为0，较本专业2018年03月（0）基本持平，与合格值（0）相等，在全校专业中处于较好水平，诊断结论为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25" name="图片 25" descr="echarts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echarts(6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图19教学事故次数</w:t>
      </w:r>
    </w:p>
    <w:p>
      <w:pPr>
        <w:pStyle w:val="4"/>
        <w:bidi w:val="0"/>
        <w:spacing w:after="280" w:afterAutospacing="1"/>
        <w:jc w:val="left"/>
      </w:pPr>
      <w:bookmarkStart w:id="44" w:name="_Toc12238"/>
      <w:r>
        <w:rPr>
          <w:rtl w:val="0"/>
        </w:rPr>
        <w:t>2.1.18教师参加培训数量</w:t>
      </w:r>
      <w:bookmarkEnd w:id="44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本专业2018年04月教师参加培训数量为68，较本专业2018年03月（68）基本持平，比合格值（23）高45，在全校专业中处于较好水平，诊断结论为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48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图20教师参加培训数量</w:t>
      </w:r>
    </w:p>
    <w:p>
      <w:pPr>
        <w:pStyle w:val="4"/>
        <w:bidi w:val="0"/>
        <w:spacing w:after="280" w:afterAutospacing="1"/>
        <w:jc w:val="left"/>
      </w:pPr>
      <w:bookmarkStart w:id="45" w:name="_Toc15776"/>
      <w:r>
        <w:rPr>
          <w:rtl w:val="0"/>
        </w:rPr>
        <w:t>2.1.19教师社会兼职数量</w:t>
      </w:r>
      <w:bookmarkEnd w:id="45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本专业2018年04月教师社会兼职数量为7，较本专业2018年03月（7）基本持平，比合格值（6）高1，在全校专业中处于较好水平，诊断结论为</w:t>
      </w:r>
      <w:r>
        <w:rPr>
          <w:b w:val="0"/>
          <w:color w:val="F9A733"/>
          <w:sz w:val="24"/>
        </w:rPr>
        <w:t>预警</w:t>
      </w:r>
    </w:p>
    <w:p>
      <w:pPr>
        <w:bidi w:val="0"/>
        <w:spacing w:after="280" w:afterAutospacing="1"/>
        <w:ind w:firstLine="0"/>
        <w:jc w:val="center"/>
        <w:rPr>
          <w:b w:val="0"/>
          <w:color w:val="F9A733"/>
          <w:sz w:val="24"/>
        </w:rPr>
      </w:pPr>
      <w:r>
        <w:rPr>
          <w:b w:val="0"/>
          <w:color w:val="F9A733"/>
          <w:sz w:val="24"/>
        </w:rPr>
        <w:pict>
          <v:shape id="_x0000_i1049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b w:val="0"/>
          <w:color w:val="F9A733"/>
          <w:sz w:val="24"/>
        </w:rPr>
        <w:br w:type="textWrapping"/>
      </w:r>
      <w:r>
        <w:rPr>
          <w:sz w:val="21"/>
          <w:rtl w:val="0"/>
        </w:rPr>
        <w:t>图21教师社会兼职数量</w:t>
      </w:r>
    </w:p>
    <w:p>
      <w:pPr>
        <w:pStyle w:val="4"/>
        <w:bidi w:val="0"/>
        <w:spacing w:after="280" w:afterAutospacing="1"/>
        <w:jc w:val="left"/>
      </w:pPr>
      <w:bookmarkStart w:id="46" w:name="_Toc26618"/>
      <w:r>
        <w:rPr>
          <w:rtl w:val="0"/>
        </w:rPr>
        <w:t>2.1.20省级以上获奖项目数量</w:t>
      </w:r>
      <w:bookmarkEnd w:id="46"/>
    </w:p>
    <w:p>
      <w:pPr>
        <w:bidi w:val="0"/>
        <w:spacing w:after="280" w:afterAutospacing="1"/>
        <w:ind w:firstLine="520"/>
        <w:jc w:val="left"/>
        <w:rPr>
          <w:b w:val="0"/>
          <w:color w:val="F9A733"/>
          <w:sz w:val="24"/>
        </w:rPr>
      </w:pPr>
      <w:r>
        <w:rPr>
          <w:b w:val="0"/>
          <w:color w:val="000000"/>
          <w:sz w:val="24"/>
        </w:rPr>
        <w:t>本专业2018年04月省级以上获奖项目数量为90，较本专业2018年03月（90）基本持平，比合格值（2）高88，在全校专业中处于较好水平，诊断结论为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26" name="图片 26" descr="echarts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echarts(6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7" w:name="_GoBack"/>
      <w:bookmarkEnd w:id="77"/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图22省级以上获奖项目数量</w:t>
      </w:r>
    </w:p>
    <w:p>
      <w:pPr>
        <w:pStyle w:val="4"/>
        <w:bidi w:val="0"/>
        <w:spacing w:after="280" w:afterAutospacing="1"/>
        <w:jc w:val="left"/>
      </w:pPr>
      <w:bookmarkStart w:id="47" w:name="_Toc29679"/>
      <w:r>
        <w:rPr>
          <w:rtl w:val="0"/>
        </w:rPr>
        <w:t>2.1.21获技术专利（技术发明）项目数量</w:t>
      </w:r>
      <w:bookmarkEnd w:id="47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本专业2018年04月获技术专利（技术发明）项目数量为1，较本专业2018年03月（1）基本持平，与合格值（1）相等，在全校专业中处于较好水平，诊断结论为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51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图23获技术专利（技术发明）项目数量</w:t>
      </w:r>
    </w:p>
    <w:p>
      <w:pPr>
        <w:pStyle w:val="4"/>
        <w:bidi w:val="0"/>
        <w:spacing w:after="280" w:afterAutospacing="1"/>
        <w:jc w:val="left"/>
      </w:pPr>
      <w:bookmarkStart w:id="48" w:name="_Toc23478"/>
      <w:r>
        <w:rPr>
          <w:rtl w:val="0"/>
        </w:rPr>
        <w:t>2.1.22省级以上在研课题数量</w:t>
      </w:r>
      <w:bookmarkEnd w:id="48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本专业2018年04月省级以上在研课题数量为25，较本专业2018年03月（25）基本持平，比合格值（3）高22，在全校专业中处于较好水平，诊断结论为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52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图24省级以上在研课题数量</w:t>
      </w:r>
    </w:p>
    <w:p>
      <w:pPr>
        <w:pStyle w:val="4"/>
        <w:bidi w:val="0"/>
        <w:spacing w:after="280" w:afterAutospacing="1"/>
        <w:jc w:val="left"/>
      </w:pPr>
      <w:bookmarkStart w:id="49" w:name="_Toc15199"/>
      <w:r>
        <w:rPr>
          <w:rtl w:val="0"/>
        </w:rPr>
        <w:t>2.1.23在研课题到款经费（万元）</w:t>
      </w:r>
      <w:bookmarkEnd w:id="49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本专业2018年04月在研课题到款经费（万元）为486000，较本专业2018年03月（486000）基本持平，比合格值（28）高485972，在全校专业中处于较好水平，诊断结论为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53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图25在研课题到款经费（万元）</w:t>
      </w:r>
    </w:p>
    <w:p>
      <w:pPr>
        <w:pStyle w:val="4"/>
        <w:bidi w:val="0"/>
        <w:spacing w:after="280" w:afterAutospacing="1"/>
        <w:jc w:val="left"/>
      </w:pPr>
      <w:bookmarkStart w:id="50" w:name="_Toc27031"/>
      <w:r>
        <w:rPr>
          <w:rtl w:val="0"/>
        </w:rPr>
        <w:t>2.1.24公开出版著作数量</w:t>
      </w:r>
      <w:bookmarkEnd w:id="50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本专业2018年04月公开出版著作数量为128，较本专业2018年03月（128）基本持平，比合格值（2）高126，在全校专业中处于较好水平，诊断结论为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54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图26公开出版著作数量</w:t>
      </w:r>
    </w:p>
    <w:p>
      <w:pPr>
        <w:pStyle w:val="4"/>
        <w:bidi w:val="0"/>
        <w:spacing w:after="280" w:afterAutospacing="1"/>
        <w:jc w:val="left"/>
      </w:pPr>
      <w:bookmarkStart w:id="51" w:name="_Toc196"/>
      <w:r>
        <w:rPr>
          <w:rtl w:val="0"/>
        </w:rPr>
        <w:t>2.1.25公开发表核心论文数量</w:t>
      </w:r>
      <w:bookmarkEnd w:id="51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本专业2018年04月公开发表核心论文数量为19，较本专业2018年03月（19）基本持平，比合格值（1）高18，在全校专业中处于较好水平，诊断结论为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55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图27公开发表核心论文数量</w:t>
      </w:r>
    </w:p>
    <w:p>
      <w:pPr>
        <w:pStyle w:val="4"/>
        <w:bidi w:val="0"/>
        <w:spacing w:after="280" w:afterAutospacing="1"/>
        <w:jc w:val="left"/>
      </w:pPr>
      <w:bookmarkStart w:id="52" w:name="_Toc31087"/>
      <w:r>
        <w:rPr>
          <w:rtl w:val="0"/>
        </w:rPr>
        <w:t>2.1.26公开发表非核心论文数量</w:t>
      </w:r>
      <w:bookmarkEnd w:id="52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本专业2018年04月公开发表非核心论文数量为95，较本专业2018年03月（95）基本持平，比合格值（3）高92，在全校专业中处于较好水平，诊断结论为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12" name="图片 12" descr="echarts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charts(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图28公开发表非核心论文数量</w:t>
      </w:r>
    </w:p>
    <w:p>
      <w:pPr>
        <w:pStyle w:val="3"/>
        <w:bidi w:val="0"/>
        <w:spacing w:after="280" w:afterAutospacing="1"/>
        <w:jc w:val="left"/>
      </w:pPr>
      <w:bookmarkStart w:id="53" w:name="_Toc10700"/>
      <w:r>
        <w:rPr>
          <w:rtl w:val="0"/>
        </w:rPr>
        <w:t>2.2</w:t>
      </w:r>
      <w:r>
        <w:rPr>
          <w:rFonts w:hint="default"/>
          <w:rtl w:val="0"/>
        </w:rPr>
        <w:t>专业诊改</w:t>
      </w:r>
      <w:bookmarkEnd w:id="53"/>
    </w:p>
    <w:p>
      <w:pPr>
        <w:bidi w:val="0"/>
        <w:spacing w:after="280" w:afterAutospacing="1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 xml:space="preserve">    本次从基本情况，实践活动，毕业就业3方面对学生情况诊断进行诊断，总体达标率为</w:t>
      </w:r>
      <w:r>
        <w:rPr>
          <w:b w:val="0"/>
          <w:color w:val="F34E1C"/>
          <w:sz w:val="24"/>
        </w:rPr>
        <w:t>38.46%</w:t>
      </w:r>
      <w:r>
        <w:rPr>
          <w:b w:val="0"/>
          <w:color w:val="000000"/>
          <w:sz w:val="24"/>
        </w:rPr>
        <w:t>，诊断结论为：</w:t>
      </w:r>
      <w:r>
        <w:rPr>
          <w:b w:val="0"/>
          <w:color w:val="F34E1C"/>
          <w:sz w:val="24"/>
        </w:rPr>
        <w:t>不合格，请持续改进</w:t>
      </w:r>
    </w:p>
    <w:p>
      <w:pPr>
        <w:bidi w:val="0"/>
        <w:spacing w:after="280" w:afterAutospacing="1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诊断要素的诊断情况如下：</w:t>
      </w:r>
    </w:p>
    <w:p>
      <w:pPr>
        <w:bidi w:val="0"/>
        <w:spacing w:after="280" w:afterAutospacing="1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pict>
          <v:shape id="_x0000_i1057" o:spt="75" type="#_x0000_t75" style="height:15pt;width:1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b w:val="0"/>
          <w:color w:val="000000"/>
          <w:sz w:val="24"/>
        </w:rPr>
        <w:t xml:space="preserve">基本情况  </w:t>
      </w:r>
      <w:r>
        <w:rPr>
          <w:b w:val="0"/>
          <w:color w:val="000000"/>
          <w:sz w:val="24"/>
        </w:rPr>
        <w:pict>
          <v:shape id="_x0000_i1058" o:spt="75" type="#_x0000_t75" style="height:15pt;width:1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b w:val="0"/>
          <w:color w:val="000000"/>
          <w:sz w:val="24"/>
        </w:rPr>
        <w:t xml:space="preserve">实践活动  </w:t>
      </w:r>
      <w:r>
        <w:rPr>
          <w:b w:val="0"/>
          <w:color w:val="000000"/>
          <w:sz w:val="24"/>
        </w:rPr>
        <w:pict>
          <v:shape id="_x0000_i1059" o:spt="75" type="#_x0000_t75" style="height:15pt;width:1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b w:val="0"/>
          <w:color w:val="000000"/>
          <w:sz w:val="24"/>
        </w:rPr>
        <w:t xml:space="preserve">毕业就业  </w:t>
      </w:r>
    </w:p>
    <w:p>
      <w:pPr>
        <w:bidi w:val="0"/>
        <w:spacing w:after="280" w:afterAutospacing="1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该项目存在的主要问题为：</w:t>
      </w:r>
    </w:p>
    <w:p>
      <w:pPr>
        <w:numPr>
          <w:ilvl w:val="0"/>
          <w:numId w:val="10"/>
        </w:numPr>
        <w:bidi w:val="0"/>
        <w:spacing w:after="280" w:afterAutospacing="1"/>
        <w:ind w:left="600"/>
        <w:jc w:val="left"/>
        <w:rPr>
          <w:b w:val="0"/>
          <w:color w:val="000000"/>
          <w:sz w:val="24"/>
        </w:rPr>
      </w:pPr>
      <w:r>
        <w:rPr>
          <w:b/>
          <w:color w:val="000000"/>
          <w:sz w:val="24"/>
        </w:rPr>
        <w:t>毕业生就业情况有待提高</w:t>
      </w:r>
    </w:p>
    <w:p>
      <w:pPr>
        <w:numPr>
          <w:ilvl w:val="0"/>
          <w:numId w:val="0"/>
        </w:numPr>
        <w:bidi w:val="0"/>
        <w:spacing w:before="100" w:after="100" w:afterAutospacing="1"/>
        <w:ind w:left="600"/>
        <w:jc w:val="left"/>
        <w:rPr>
          <w:b/>
          <w:color w:val="000000"/>
          <w:sz w:val="24"/>
        </w:rPr>
      </w:pPr>
      <w:r>
        <w:rPr>
          <w:b w:val="0"/>
          <w:color w:val="000000"/>
          <w:sz w:val="24"/>
        </w:rPr>
        <w:t>反映出该校学生在就业市场上的竞争力较低，学生的综合能力不强，学生掌握的知识与能力不能与社会需求同步。专业在人才培养方面，未能真正实现以市场需求为导向，人才培养模式与用人单位实际需求之前存在偏差；在就业指导服务方面，就业服务平台未能给予该专业充分支持，专业的职业发展与指导工作未落实到位。</w:t>
      </w:r>
    </w:p>
    <w:p>
      <w:pPr>
        <w:numPr>
          <w:ilvl w:val="0"/>
          <w:numId w:val="0"/>
        </w:numPr>
        <w:bidi w:val="0"/>
        <w:spacing w:before="100" w:after="100" w:afterAutospacing="1"/>
        <w:ind w:left="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改进建议为：</w:t>
      </w:r>
    </w:p>
    <w:p>
      <w:pPr>
        <w:numPr>
          <w:ilvl w:val="0"/>
          <w:numId w:val="11"/>
        </w:numPr>
        <w:bidi w:val="0"/>
        <w:spacing w:before="100" w:after="100" w:afterAutospacing="1"/>
        <w:ind w:left="600"/>
        <w:jc w:val="left"/>
        <w:rPr>
          <w:b w:val="0"/>
          <w:color w:val="000000"/>
          <w:sz w:val="24"/>
        </w:rPr>
      </w:pPr>
      <w:r>
        <w:rPr>
          <w:b/>
          <w:color w:val="000000"/>
          <w:sz w:val="24"/>
        </w:rPr>
        <w:t>强化学生能力要求，提高专业实践能力</w:t>
      </w:r>
    </w:p>
    <w:p>
      <w:pPr>
        <w:numPr>
          <w:ilvl w:val="0"/>
          <w:numId w:val="0"/>
        </w:numPr>
        <w:bidi w:val="0"/>
        <w:spacing w:before="100" w:after="100" w:afterAutospacing="1"/>
        <w:ind w:left="600"/>
        <w:jc w:val="left"/>
        <w:rPr>
          <w:b/>
          <w:color w:val="000000"/>
          <w:sz w:val="24"/>
        </w:rPr>
      </w:pPr>
      <w:r>
        <w:rPr>
          <w:b w:val="0"/>
          <w:color w:val="000000"/>
          <w:sz w:val="24"/>
        </w:rPr>
        <w:t>可根据实际产业的发展要求，在日常教学中进一步加强实习实践环节的培养，不断强化学生的实践操作能力，更好地指导学生将所学知识运用于实际领域，从而促进专业技能的提升，增加专业工作岗位的竞争力，提升专业整体的就业质量。同时有针对性的开展学生就业规划指导工作，为学生创业就业提供咨询、指导服务。</w:t>
      </w:r>
    </w:p>
    <w:p>
      <w:pPr>
        <w:numPr>
          <w:ilvl w:val="0"/>
          <w:numId w:val="0"/>
        </w:numPr>
        <w:bidi w:val="0"/>
        <w:spacing w:before="100" w:after="100" w:afterAutospacing="1"/>
        <w:ind w:left="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学生情况诊断诊断项目中所包含指标及分析情况如下：</w:t>
      </w:r>
    </w:p>
    <w:p>
      <w:pPr>
        <w:pStyle w:val="4"/>
        <w:bidi w:val="0"/>
        <w:spacing w:after="280" w:afterAutospacing="1"/>
        <w:jc w:val="left"/>
        <w:rPr>
          <w:b w:val="0"/>
          <w:color w:val="000000"/>
          <w:sz w:val="24"/>
        </w:rPr>
      </w:pPr>
      <w:bookmarkStart w:id="54" w:name="_Toc2760"/>
      <w:r>
        <w:rPr>
          <w:rtl w:val="0"/>
        </w:rPr>
        <w:t>2.2.1专业在校生数</w:t>
      </w:r>
      <w:bookmarkEnd w:id="54"/>
    </w:p>
    <w:p>
      <w:pPr>
        <w:bidi w:val="0"/>
        <w:spacing w:after="280" w:afterAutospacing="1"/>
        <w:ind w:firstLine="52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本专业2018年04月专业在校生数为246，较本专业2018年03月（246）基本持平，比合格值（212）高34，在全校专业中处于较好水平，诊断结论为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60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图29专业在校生数</w:t>
      </w:r>
    </w:p>
    <w:p>
      <w:pPr>
        <w:pStyle w:val="4"/>
        <w:bidi w:val="0"/>
        <w:spacing w:after="280" w:afterAutospacing="1"/>
        <w:jc w:val="left"/>
      </w:pPr>
      <w:bookmarkStart w:id="55" w:name="_Toc3591"/>
      <w:r>
        <w:rPr>
          <w:rtl w:val="0"/>
        </w:rPr>
        <w:t>2.2.2辍学人数</w:t>
      </w:r>
      <w:bookmarkEnd w:id="55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本专业2018年04月辍学人数为0，较本专业2018年03月（0）基本持平，比合格值（2）低2，在全校专业中处于较好水平，诊断结论为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13" name="图片 13" descr="echarts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charts(8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图30辍学人数</w:t>
      </w:r>
    </w:p>
    <w:p>
      <w:pPr>
        <w:pStyle w:val="4"/>
        <w:bidi w:val="0"/>
        <w:spacing w:after="280" w:afterAutospacing="1"/>
        <w:jc w:val="left"/>
      </w:pPr>
      <w:bookmarkStart w:id="56" w:name="_Toc23651"/>
      <w:r>
        <w:rPr>
          <w:rtl w:val="0"/>
        </w:rPr>
        <w:t>2.2.3社团数量</w:t>
      </w:r>
      <w:bookmarkEnd w:id="56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本专业2018年04月社团数量为2，较本专业2018年03月（2）基本持平，比合格值（1）高1，在全校专业中处于较好水平，诊断结论为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62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图31社团数量</w:t>
      </w:r>
    </w:p>
    <w:p>
      <w:pPr>
        <w:pStyle w:val="4"/>
        <w:bidi w:val="0"/>
        <w:spacing w:after="280" w:afterAutospacing="1"/>
        <w:jc w:val="left"/>
      </w:pPr>
      <w:bookmarkStart w:id="57" w:name="_Toc18680"/>
      <w:r>
        <w:rPr>
          <w:rtl w:val="0"/>
        </w:rPr>
        <w:t>2.2.4举办志愿者（义工/社工）活动次数</w:t>
      </w:r>
      <w:bookmarkEnd w:id="57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本专业2018年04月举办志愿者（义工/社工）活动次数为1，较本专业2018年03月（1）基本持平，与合格值（1）相等，在全校专业中处于较好水平，诊断结论为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14" name="图片 14" descr="echarts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charts(7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图32举办志愿者（义工/社工）活动次数</w:t>
      </w:r>
    </w:p>
    <w:p>
      <w:pPr>
        <w:pStyle w:val="4"/>
        <w:bidi w:val="0"/>
        <w:spacing w:after="280" w:afterAutospacing="1"/>
        <w:jc w:val="left"/>
      </w:pPr>
      <w:bookmarkStart w:id="58" w:name="_Toc7274"/>
      <w:r>
        <w:rPr>
          <w:rtl w:val="0"/>
        </w:rPr>
        <w:t>2.2.5参与志愿者（义工/社工）活动总人次</w:t>
      </w:r>
      <w:bookmarkEnd w:id="58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本专业2018年04月参与志愿者（义工/社工）活动总人次为95，较本专业2018年03月（95）基本持平，比合格值（60）高35，在全校专业中处于较好水平，诊断结论为</w:t>
      </w:r>
      <w:r>
        <w:rPr>
          <w:b w:val="0"/>
          <w:color w:val="2ECC8B"/>
          <w:sz w:val="24"/>
        </w:rPr>
        <w:t>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pict>
          <v:shape id="_x0000_i1064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图33参与志愿者（义工/社工）活动总人次</w:t>
      </w:r>
    </w:p>
    <w:p>
      <w:pPr>
        <w:pStyle w:val="4"/>
        <w:bidi w:val="0"/>
        <w:spacing w:after="280" w:afterAutospacing="1"/>
        <w:jc w:val="left"/>
      </w:pPr>
      <w:bookmarkStart w:id="59" w:name="_Toc13809"/>
      <w:r>
        <w:rPr>
          <w:rtl w:val="0"/>
        </w:rPr>
        <w:t>2.2.6学生因学校品牌报考本校原因占比</w:t>
      </w:r>
      <w:bookmarkEnd w:id="59"/>
    </w:p>
    <w:p>
      <w:pPr>
        <w:bidi w:val="0"/>
        <w:spacing w:after="280" w:afterAutospacing="1"/>
        <w:ind w:firstLine="520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本专业2018年04月学生因学校品牌报考本校原因占比为0，比合格值（20）低20，在全校专业中处于较好水平，诊断结论为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pict>
          <v:shape id="_x0000_i1065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图34学生因学校品牌报考本校原因占比</w:t>
      </w:r>
    </w:p>
    <w:p>
      <w:pPr>
        <w:pStyle w:val="4"/>
        <w:bidi w:val="0"/>
        <w:spacing w:after="280" w:afterAutospacing="1"/>
        <w:jc w:val="left"/>
      </w:pPr>
      <w:bookmarkStart w:id="60" w:name="_Toc20343"/>
      <w:r>
        <w:rPr>
          <w:rtl w:val="0"/>
        </w:rPr>
        <w:t>2.2.7毕业率</w:t>
      </w:r>
      <w:bookmarkEnd w:id="60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本专业2018年04月毕业率为0，比合格值（93）低93，在全校专业中处于较好水平，诊断结论为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16" name="图片 16" descr="echarts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charts(6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图35毕业率</w:t>
      </w:r>
    </w:p>
    <w:p>
      <w:pPr>
        <w:pStyle w:val="4"/>
        <w:bidi w:val="0"/>
        <w:spacing w:after="280" w:afterAutospacing="1"/>
        <w:jc w:val="left"/>
      </w:pPr>
      <w:bookmarkStart w:id="61" w:name="_Toc11141"/>
      <w:r>
        <w:rPr>
          <w:rtl w:val="0"/>
        </w:rPr>
        <w:t>2.2.8初次就业率</w:t>
      </w:r>
      <w:bookmarkEnd w:id="61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本专业2018年04月初次就业率为0，比合格值（90）低90，在全校专业中处于较好水平，诊断结论为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pict>
          <v:shape id="_x0000_i1067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图36初次就业率</w:t>
      </w:r>
    </w:p>
    <w:p>
      <w:pPr>
        <w:pStyle w:val="4"/>
        <w:bidi w:val="0"/>
        <w:spacing w:after="280" w:afterAutospacing="1"/>
        <w:jc w:val="left"/>
      </w:pPr>
      <w:bookmarkStart w:id="62" w:name="_Toc19622"/>
      <w:r>
        <w:rPr>
          <w:rtl w:val="0"/>
        </w:rPr>
        <w:t>2.2.9年终就业率</w:t>
      </w:r>
      <w:bookmarkEnd w:id="62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本专业2018年04月年终就业率为0，比合格值（94）低94，在全校专业中处于较好水平，诊断结论为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17" name="图片 17" descr="echarts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charts(5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图37年终就业率</w:t>
      </w:r>
    </w:p>
    <w:p>
      <w:pPr>
        <w:pStyle w:val="4"/>
        <w:bidi w:val="0"/>
        <w:spacing w:after="280" w:afterAutospacing="1"/>
        <w:jc w:val="left"/>
      </w:pPr>
      <w:bookmarkStart w:id="63" w:name="_Toc31702"/>
      <w:r>
        <w:rPr>
          <w:rtl w:val="0"/>
        </w:rPr>
        <w:t>2.2.10平均起薪线</w:t>
      </w:r>
      <w:bookmarkEnd w:id="63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本专业2018年04月平均起薪线为0，比合格值（3100）低3100，在全校专业中处于较好水平，诊断结论为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pict>
          <v:shape id="_x0000_i1069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图38平均起薪线</w:t>
      </w:r>
    </w:p>
    <w:p>
      <w:pPr>
        <w:pStyle w:val="4"/>
        <w:bidi w:val="0"/>
        <w:spacing w:after="280" w:afterAutospacing="1"/>
        <w:jc w:val="left"/>
      </w:pPr>
      <w:bookmarkStart w:id="64" w:name="_Toc24383"/>
      <w:r>
        <w:rPr>
          <w:rtl w:val="0"/>
        </w:rPr>
        <w:t>2.2.11毕业对口就业率</w:t>
      </w:r>
      <w:bookmarkEnd w:id="64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本专业2018年04月毕业对口就业率为0，比合格值（50）低50，在全校专业中处于较好水平，诊断结论为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18" name="图片 18" descr="echarts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charts(4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图39毕业对口就业率</w:t>
      </w:r>
    </w:p>
    <w:p>
      <w:pPr>
        <w:pStyle w:val="4"/>
        <w:bidi w:val="0"/>
        <w:spacing w:after="280" w:afterAutospacing="1"/>
        <w:jc w:val="left"/>
      </w:pPr>
      <w:bookmarkStart w:id="65" w:name="_Toc10251"/>
      <w:r>
        <w:rPr>
          <w:rtl w:val="0"/>
        </w:rPr>
        <w:t>2.2.12用人单位满意或基本满意情况</w:t>
      </w:r>
      <w:bookmarkEnd w:id="65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本专业2018年04月用人单位满意或基本满意情况为0，比合格值（80）低80，在全校专业中处于较好水平，诊断结论为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pict>
          <v:shape id="_x0000_i1071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图40用人单位满意或基本满意情况</w:t>
      </w:r>
    </w:p>
    <w:p>
      <w:pPr>
        <w:pStyle w:val="4"/>
        <w:bidi w:val="0"/>
        <w:spacing w:after="280" w:afterAutospacing="1"/>
        <w:jc w:val="left"/>
      </w:pPr>
      <w:bookmarkStart w:id="66" w:name="_Toc25285"/>
      <w:r>
        <w:rPr>
          <w:rtl w:val="0"/>
        </w:rPr>
        <w:t>2.2.13职业资格证书获取率</w:t>
      </w:r>
      <w:bookmarkEnd w:id="66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本专业2018年04月职业资格证书获取率为0，比合格值（91）低91，在全校专业中处于较好水平，诊断结论为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19" name="图片 19" descr="echarts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charts(7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图41职业资格证书获取率</w:t>
      </w:r>
    </w:p>
    <w:p>
      <w:pPr>
        <w:pStyle w:val="3"/>
        <w:bidi w:val="0"/>
        <w:spacing w:after="280" w:afterAutospacing="1"/>
        <w:jc w:val="left"/>
      </w:pPr>
      <w:bookmarkStart w:id="67" w:name="_Toc26794"/>
      <w:r>
        <w:rPr>
          <w:rtl w:val="0"/>
        </w:rPr>
        <w:t>2.3</w:t>
      </w:r>
      <w:r>
        <w:rPr>
          <w:rFonts w:hint="default"/>
          <w:rtl w:val="0"/>
        </w:rPr>
        <w:t>课程建设规划</w:t>
      </w:r>
      <w:bookmarkEnd w:id="67"/>
    </w:p>
    <w:p>
      <w:pPr>
        <w:bidi w:val="0"/>
        <w:spacing w:after="280" w:afterAutospacing="1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 xml:space="preserve">    本次从课程结构，实践课程，精品课程3方面对课程情况诊断进行诊断，总体达标率为</w:t>
      </w:r>
      <w:r>
        <w:rPr>
          <w:rFonts w:hint="eastAsia" w:ascii="Verdana" w:hAnsi="Verdana" w:eastAsia="宋体" w:cs="Verdana"/>
          <w:b w:val="0"/>
          <w:i w:val="0"/>
          <w:caps w:val="0"/>
          <w:color w:val="FF3700"/>
          <w:spacing w:val="0"/>
          <w:sz w:val="24"/>
          <w:szCs w:val="24"/>
          <w:shd w:val="clear" w:fill="FFFFFF"/>
        </w:rPr>
        <w:t>0.0%</w:t>
      </w:r>
      <w:r>
        <w:rPr>
          <w:b w:val="0"/>
          <w:color w:val="000000"/>
          <w:sz w:val="24"/>
        </w:rPr>
        <w:t>，诊断结论为：</w:t>
      </w:r>
      <w:r>
        <w:rPr>
          <w:rFonts w:ascii="Verdana" w:hAnsi="Verdana" w:eastAsia="宋体" w:cs="Verdana"/>
          <w:b w:val="0"/>
          <w:i w:val="0"/>
          <w:caps w:val="0"/>
          <w:color w:val="FF3700"/>
          <w:spacing w:val="0"/>
          <w:sz w:val="24"/>
          <w:szCs w:val="24"/>
          <w:shd w:val="clear" w:fill="FFFFFF"/>
        </w:rPr>
        <w:t>不合格，请持续改进</w:t>
      </w:r>
    </w:p>
    <w:p>
      <w:pPr>
        <w:bidi w:val="0"/>
        <w:spacing w:after="280" w:afterAutospacing="1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>诊断要素的诊断情况如下：</w:t>
      </w:r>
    </w:p>
    <w:p>
      <w:pPr>
        <w:bidi w:val="0"/>
        <w:spacing w:after="280" w:afterAutospacing="1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pict>
          <v:shape id="_x0000_i1073" o:spt="75" type="#_x0000_t75" style="height:15pt;width:15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rPr>
          <w:b w:val="0"/>
          <w:color w:val="000000"/>
          <w:sz w:val="24"/>
        </w:rPr>
        <w:t>课程结构</w:t>
      </w:r>
    </w:p>
    <w:p>
      <w:pPr>
        <w:bidi w:val="0"/>
        <w:spacing w:after="280" w:afterAutospacing="1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该项目存在的主要问题为：课程建设规划有待改进</w:t>
      </w:r>
    </w:p>
    <w:p>
      <w:pPr>
        <w:bidi w:val="0"/>
        <w:spacing w:after="280" w:afterAutospacing="1"/>
        <w:ind w:left="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改进建议为：课程建设规划有待改进</w:t>
      </w:r>
    </w:p>
    <w:p>
      <w:pPr>
        <w:bidi w:val="0"/>
        <w:spacing w:after="280" w:afterAutospacing="1"/>
        <w:ind w:left="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课程情况诊断诊断项目中所包含指标及分析情况如下：</w:t>
      </w:r>
    </w:p>
    <w:p>
      <w:pPr>
        <w:pStyle w:val="4"/>
        <w:bidi w:val="0"/>
        <w:spacing w:after="280" w:afterAutospacing="1"/>
        <w:jc w:val="left"/>
        <w:rPr>
          <w:b w:val="0"/>
          <w:color w:val="000000"/>
          <w:sz w:val="24"/>
        </w:rPr>
      </w:pPr>
      <w:bookmarkStart w:id="68" w:name="_Toc5229"/>
      <w:r>
        <w:rPr>
          <w:rtl w:val="0"/>
        </w:rPr>
        <w:t>2.3.1校企双导师数量</w:t>
      </w:r>
      <w:bookmarkEnd w:id="68"/>
    </w:p>
    <w:p>
      <w:pPr>
        <w:bidi w:val="0"/>
        <w:spacing w:after="280" w:afterAutospacing="1"/>
        <w:ind w:firstLine="52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本专业2018年04月专业课程开设数为94，较本专业2018年03月（94）基本持平，比合格值（40）高54，在全校专业中处于较好水平，诊断结论为校企双导师未达标</w:t>
      </w:r>
      <w:r>
        <w:rPr>
          <w:rFonts w:hint="eastAsia"/>
          <w:b w:val="0"/>
          <w:color w:val="000000"/>
          <w:sz w:val="24"/>
          <w:lang w:eastAsia="zh-CN"/>
        </w:rPr>
        <w:t>。</w:t>
      </w:r>
    </w:p>
    <w:p>
      <w:pPr>
        <w:bidi w:val="0"/>
        <w:spacing w:after="280" w:afterAutospacing="1"/>
        <w:ind w:firstLine="0"/>
        <w:jc w:val="center"/>
        <w:rPr>
          <w:b w:val="0"/>
          <w:color w:val="2ECC8B"/>
          <w:sz w:val="24"/>
        </w:rPr>
      </w:pPr>
      <w:r>
        <w:rPr>
          <w:b w:val="0"/>
          <w:color w:val="2ECC8B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7" name="图片 7" descr="echarts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charts(2)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ECC8B"/>
          <w:sz w:val="24"/>
        </w:rPr>
        <w:br w:type="textWrapping"/>
      </w:r>
      <w:r>
        <w:rPr>
          <w:sz w:val="21"/>
          <w:rtl w:val="0"/>
        </w:rPr>
        <w:t>图42专业课程开设数</w:t>
      </w:r>
    </w:p>
    <w:p>
      <w:pPr>
        <w:pStyle w:val="3"/>
        <w:bidi w:val="0"/>
        <w:spacing w:after="280" w:afterAutospacing="1"/>
        <w:jc w:val="left"/>
      </w:pPr>
      <w:bookmarkStart w:id="69" w:name="_Toc31161"/>
      <w:r>
        <w:rPr>
          <w:rtl w:val="0"/>
        </w:rPr>
        <w:t>2.4</w:t>
      </w:r>
      <w:r>
        <w:rPr>
          <w:rFonts w:hint="eastAsia"/>
          <w:rtl w:val="0"/>
        </w:rPr>
        <w:t>课程诊改效果</w:t>
      </w:r>
      <w:bookmarkEnd w:id="69"/>
    </w:p>
    <w:p>
      <w:pPr>
        <w:bidi w:val="0"/>
        <w:spacing w:after="280" w:afterAutospacing="1"/>
        <w:jc w:val="left"/>
        <w:rPr>
          <w:b w:val="0"/>
          <w:color w:val="2ECC8B"/>
          <w:sz w:val="24"/>
        </w:rPr>
      </w:pPr>
      <w:r>
        <w:rPr>
          <w:b w:val="0"/>
          <w:color w:val="000000"/>
          <w:sz w:val="24"/>
        </w:rPr>
        <w:t xml:space="preserve">    本次从实验实训条件1方面对实验实训情况诊断进行诊断，总体达标率为</w:t>
      </w:r>
      <w:r>
        <w:rPr>
          <w:b w:val="0"/>
          <w:color w:val="F34E1C"/>
          <w:sz w:val="24"/>
        </w:rPr>
        <w:t>0%</w:t>
      </w:r>
      <w:r>
        <w:rPr>
          <w:b w:val="0"/>
          <w:color w:val="000000"/>
          <w:sz w:val="24"/>
        </w:rPr>
        <w:t>，诊断结论为：</w:t>
      </w:r>
      <w:r>
        <w:rPr>
          <w:b w:val="0"/>
          <w:color w:val="F34E1C"/>
          <w:sz w:val="24"/>
        </w:rPr>
        <w:t>不合格，请持续改进</w:t>
      </w:r>
    </w:p>
    <w:p>
      <w:pPr>
        <w:bidi w:val="0"/>
        <w:spacing w:after="280" w:afterAutospacing="1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诊断要素的诊断情况如下：</w:t>
      </w:r>
    </w:p>
    <w:p>
      <w:pPr>
        <w:bidi w:val="0"/>
        <w:spacing w:after="280" w:afterAutospacing="1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pict>
          <v:shape id="_x0000_i1084" o:spt="75" type="#_x0000_t75" style="height:15pt;width:1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b w:val="0"/>
          <w:color w:val="000000"/>
          <w:sz w:val="24"/>
        </w:rPr>
        <w:t xml:space="preserve">实验实训条件  </w:t>
      </w:r>
    </w:p>
    <w:p>
      <w:pPr>
        <w:bidi w:val="0"/>
        <w:spacing w:after="280" w:afterAutospacing="1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该项目存在的主要问题为：</w:t>
      </w:r>
    </w:p>
    <w:p>
      <w:pPr>
        <w:numPr>
          <w:ilvl w:val="0"/>
          <w:numId w:val="12"/>
        </w:numPr>
        <w:bidi w:val="0"/>
        <w:spacing w:after="280" w:afterAutospacing="1"/>
        <w:ind w:left="600"/>
        <w:jc w:val="left"/>
        <w:rPr>
          <w:b w:val="0"/>
          <w:color w:val="000000"/>
          <w:sz w:val="24"/>
        </w:rPr>
      </w:pPr>
      <w:r>
        <w:rPr>
          <w:b/>
          <w:color w:val="000000"/>
          <w:sz w:val="24"/>
        </w:rPr>
        <w:t>实验实训条件不能满足人才培养的需求</w:t>
      </w:r>
    </w:p>
    <w:p>
      <w:pPr>
        <w:numPr>
          <w:ilvl w:val="0"/>
          <w:numId w:val="0"/>
        </w:numPr>
        <w:bidi w:val="0"/>
        <w:spacing w:before="100" w:after="100" w:afterAutospacing="1"/>
        <w:ind w:left="600"/>
        <w:jc w:val="left"/>
        <w:rPr>
          <w:b/>
          <w:color w:val="000000"/>
          <w:sz w:val="24"/>
        </w:rPr>
      </w:pPr>
      <w:r>
        <w:rPr>
          <w:b w:val="0"/>
          <w:color w:val="000000"/>
          <w:sz w:val="24"/>
        </w:rPr>
        <w:t>专业在实验实训条件方面的投入较少。基础及办学条件较差。对日常教学教育的满足能力较低，影响人才培养的质量。</w:t>
      </w:r>
    </w:p>
    <w:p>
      <w:pPr>
        <w:numPr>
          <w:ilvl w:val="0"/>
          <w:numId w:val="0"/>
        </w:numPr>
        <w:bidi w:val="0"/>
        <w:spacing w:before="100" w:after="100" w:afterAutospacing="1"/>
        <w:ind w:left="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改进建议为：</w:t>
      </w:r>
    </w:p>
    <w:p>
      <w:pPr>
        <w:numPr>
          <w:ilvl w:val="0"/>
          <w:numId w:val="13"/>
        </w:numPr>
        <w:bidi w:val="0"/>
        <w:spacing w:before="100" w:after="100" w:afterAutospacing="1"/>
        <w:ind w:left="600"/>
        <w:jc w:val="left"/>
        <w:rPr>
          <w:b w:val="0"/>
          <w:color w:val="000000"/>
          <w:sz w:val="24"/>
        </w:rPr>
      </w:pPr>
      <w:r>
        <w:rPr>
          <w:b/>
          <w:color w:val="000000"/>
          <w:sz w:val="24"/>
        </w:rPr>
        <w:t>提高实验实训条件</w:t>
      </w:r>
    </w:p>
    <w:p>
      <w:pPr>
        <w:numPr>
          <w:ilvl w:val="0"/>
          <w:numId w:val="0"/>
        </w:numPr>
        <w:bidi w:val="0"/>
        <w:spacing w:before="100" w:after="100" w:afterAutospacing="1"/>
        <w:ind w:left="600"/>
        <w:jc w:val="left"/>
        <w:rPr>
          <w:b/>
          <w:color w:val="000000"/>
          <w:sz w:val="24"/>
        </w:rPr>
      </w:pPr>
      <w:r>
        <w:rPr>
          <w:b w:val="0"/>
          <w:color w:val="000000"/>
          <w:sz w:val="24"/>
        </w:rPr>
        <w:t>加大在实验实训条件上的经费投入。积极寻求政府、企业的支持。努力提升基础办学条件质量，以适应教育教学的需求。</w:t>
      </w:r>
    </w:p>
    <w:p>
      <w:pPr>
        <w:numPr>
          <w:ilvl w:val="0"/>
          <w:numId w:val="0"/>
        </w:numPr>
        <w:bidi w:val="0"/>
        <w:spacing w:before="100" w:after="100" w:afterAutospacing="1"/>
        <w:ind w:left="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实验实训情况诊断诊断项目中所包含指标及分析情况如下：</w:t>
      </w:r>
    </w:p>
    <w:p>
      <w:pPr>
        <w:pStyle w:val="4"/>
        <w:bidi w:val="0"/>
        <w:spacing w:after="280" w:afterAutospacing="1"/>
        <w:jc w:val="left"/>
        <w:rPr>
          <w:b w:val="0"/>
          <w:color w:val="000000"/>
          <w:sz w:val="24"/>
        </w:rPr>
      </w:pPr>
      <w:bookmarkStart w:id="70" w:name="_Toc27973"/>
      <w:r>
        <w:rPr>
          <w:rtl w:val="0"/>
        </w:rPr>
        <w:t>2.4.1实验实习场所占地面积</w:t>
      </w:r>
      <w:bookmarkEnd w:id="70"/>
    </w:p>
    <w:p>
      <w:pPr>
        <w:bidi w:val="0"/>
        <w:spacing w:after="280" w:afterAutospacing="1"/>
        <w:ind w:firstLine="520"/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本专业2018年04月实验实习场所占地面积为1，较本专业2018年03月（1）基本持平，比合格值（1700）低1699，在全校专业中处于较好水平，诊断结论为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21" name="图片 21" descr="echarts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charts(4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图50实验实习场所占地面积</w:t>
      </w:r>
    </w:p>
    <w:p>
      <w:pPr>
        <w:pStyle w:val="4"/>
        <w:bidi w:val="0"/>
        <w:spacing w:after="280" w:afterAutospacing="1"/>
        <w:jc w:val="left"/>
      </w:pPr>
      <w:bookmarkStart w:id="71" w:name="_Toc20677"/>
      <w:r>
        <w:rPr>
          <w:rtl w:val="0"/>
        </w:rPr>
        <w:t>2.4.2实验实习场所占地面积占教学科研及辅助用房比例</w:t>
      </w:r>
      <w:bookmarkEnd w:id="71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本专业2018年04月实验实习场所占地面积占教学科研及辅助用房比例为0，比合格值（50）低50，在全校专业中处于较好水平，诊断结论为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pict>
          <v:shape id="_x0000_i1086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图51实验实习场所占地面积占教学科研及辅助用房比例</w:t>
      </w:r>
    </w:p>
    <w:p>
      <w:pPr>
        <w:pStyle w:val="4"/>
        <w:bidi w:val="0"/>
        <w:spacing w:after="280" w:afterAutospacing="1"/>
        <w:jc w:val="left"/>
      </w:pPr>
      <w:bookmarkStart w:id="72" w:name="_Toc12944"/>
      <w:r>
        <w:rPr>
          <w:rtl w:val="0"/>
        </w:rPr>
        <w:t>2.4.3校内实践基地数量</w:t>
      </w:r>
      <w:bookmarkEnd w:id="72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本专业2018年04月校内实践基地数量为0，较本专业2018年03月（0）基本持平，比合格值（6）低6，在全校专业中处于较好水平，诊断结论为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pict>
          <v:shape id="_x0000_i1087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图52校内实践基地数量</w:t>
      </w:r>
    </w:p>
    <w:p>
      <w:pPr>
        <w:pStyle w:val="4"/>
        <w:bidi w:val="0"/>
        <w:spacing w:after="280" w:afterAutospacing="1"/>
        <w:jc w:val="left"/>
      </w:pPr>
      <w:bookmarkStart w:id="73" w:name="_Toc21568"/>
      <w:r>
        <w:rPr>
          <w:rtl w:val="0"/>
        </w:rPr>
        <w:t>2.4.4校内实践基地工位数</w:t>
      </w:r>
      <w:bookmarkEnd w:id="73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本专业2018年04月校内实践基地工位数为0，比合格值（91）低91，在全校专业中处于较好水平，诊断结论为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drawing>
          <wp:inline distT="0" distB="0" distL="114300" distR="114300">
            <wp:extent cx="4961890" cy="2742565"/>
            <wp:effectExtent l="0" t="0" r="10160" b="635"/>
            <wp:docPr id="20" name="图片 20" descr="echarts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echarts(5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图53校内实践基地工位数</w:t>
      </w:r>
    </w:p>
    <w:p>
      <w:pPr>
        <w:pStyle w:val="4"/>
        <w:bidi w:val="0"/>
        <w:spacing w:after="280" w:afterAutospacing="1"/>
        <w:jc w:val="left"/>
      </w:pPr>
      <w:bookmarkStart w:id="74" w:name="_Toc5676"/>
      <w:r>
        <w:rPr>
          <w:rtl w:val="0"/>
        </w:rPr>
        <w:t>2.4.5校外实习实训基地数量</w:t>
      </w:r>
      <w:bookmarkEnd w:id="74"/>
    </w:p>
    <w:p>
      <w:pPr>
        <w:bidi w:val="0"/>
        <w:spacing w:after="280" w:afterAutospacing="1"/>
        <w:ind w:firstLine="520"/>
        <w:jc w:val="left"/>
        <w:rPr>
          <w:b w:val="0"/>
          <w:color w:val="F34E1C"/>
          <w:sz w:val="24"/>
        </w:rPr>
      </w:pPr>
      <w:r>
        <w:rPr>
          <w:b w:val="0"/>
          <w:color w:val="000000"/>
          <w:sz w:val="24"/>
        </w:rPr>
        <w:t>本专业2018年04月校外实习实训基地数量为0，较本专业2018年03月（0）基本持平，比合格值（96）低96，在全校专业中处于较好水平，诊断结论为</w:t>
      </w:r>
      <w:r>
        <w:rPr>
          <w:b w:val="0"/>
          <w:color w:val="F34E1C"/>
          <w:sz w:val="24"/>
        </w:rPr>
        <w:t>不合格</w:t>
      </w:r>
    </w:p>
    <w:p>
      <w:pPr>
        <w:bidi w:val="0"/>
        <w:spacing w:after="280" w:afterAutospacing="1"/>
        <w:ind w:firstLine="0"/>
        <w:jc w:val="center"/>
        <w:rPr>
          <w:b w:val="0"/>
          <w:color w:val="F34E1C"/>
          <w:sz w:val="24"/>
        </w:rPr>
      </w:pPr>
      <w:r>
        <w:rPr>
          <w:b w:val="0"/>
          <w:color w:val="F34E1C"/>
          <w:sz w:val="24"/>
        </w:rPr>
        <w:pict>
          <v:shape id="_x0000_i1089" o:spt="75" type="#_x0000_t75" style="height:136pt;width:303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b w:val="0"/>
          <w:color w:val="F34E1C"/>
          <w:sz w:val="24"/>
        </w:rPr>
        <w:br w:type="textWrapping"/>
      </w:r>
      <w:r>
        <w:rPr>
          <w:sz w:val="21"/>
          <w:rtl w:val="0"/>
        </w:rPr>
        <w:t>图54校外实习实训基地数量</w:t>
      </w:r>
    </w:p>
    <w:p>
      <w:pPr>
        <w:pStyle w:val="2"/>
        <w:numPr>
          <w:ilvl w:val="0"/>
          <w:numId w:val="1"/>
        </w:numPr>
      </w:pPr>
      <w:bookmarkStart w:id="75" w:name="_Toc493866845"/>
      <w:bookmarkStart w:id="76" w:name="_Toc9955"/>
      <w:r>
        <w:rPr>
          <w:rFonts w:hint="eastAsia"/>
        </w:rPr>
        <w:t>内部质量自我诊改报告</w:t>
      </w:r>
      <w:bookmarkEnd w:id="75"/>
      <w:bookmarkEnd w:id="76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注：该报告根据对学校的指标诊断结果动态生成，仅供学校进行参考</w:t>
      </w:r>
    </w:p>
    <w:tbl>
      <w:tblPr>
        <w:tblStyle w:val="14"/>
        <w:tblW w:w="16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5000"/>
        <w:gridCol w:w="500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B8CCE4"/>
            <w:vAlign w:val="center"/>
          </w:tcPr>
          <w:p>
            <w:pPr>
              <w:widowControl/>
              <w:spacing w:line="280" w:lineRule="auto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诊断项目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B8CCE4"/>
            <w:vAlign w:val="center"/>
          </w:tcPr>
          <w:p>
            <w:pPr>
              <w:widowControl/>
              <w:spacing w:line="280" w:lineRule="auto"/>
              <w:jc w:val="left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诊断要素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B8CCE4"/>
            <w:vAlign w:val="center"/>
          </w:tcPr>
          <w:p>
            <w:pPr>
              <w:widowControl/>
              <w:spacing w:line="280" w:lineRule="auto"/>
              <w:jc w:val="left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自我诊断意见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B8CCE4"/>
            <w:vAlign w:val="center"/>
          </w:tcPr>
          <w:p>
            <w:pPr>
              <w:widowControl/>
              <w:spacing w:line="280" w:lineRule="auto"/>
              <w:jc w:val="left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改进措施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B8CCE4"/>
            <w:vAlign w:val="center"/>
          </w:tcPr>
          <w:p>
            <w:pPr>
              <w:widowControl/>
              <w:spacing w:line="280" w:lineRule="auto"/>
              <w:jc w:val="left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ascii="仿宋" w:hAnsi="仿宋" w:eastAsia="仿宋"/>
                <w:b/>
                <w:szCs w:val="21"/>
              </w:rPr>
              <w:t>改进成效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教师情况诊断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企业、行业经验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教师企业实践经验不足。从一定程度上反映出本专业专任教师中具有企业、行业经验的教师数量偏低。教师企业经验不足，不愿进入企业实践，在教学工作中，容易与企业需求脱节。导致学生掌握的各项技能与用人单位需求产生偏差，不利于学生的就业。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加强和企业的沟通联系，强化教师企业实践。从专业层面，加强与企业之间的互动，组织教师到与专业相融合的行业、企业顶岗实践。实行专业教师挂职锻炼制度，并监控教师下企业情况，将理论与实践紧密的结合起来。充分发挥校企双方的资源特色，共促人才培养提高。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教师情况诊断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教师教学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教学工作任务较重，教学质量不高。专任教师平均周学时较高，教学任务较重。同时教学前期准备工作不足，教学质量不高，督导反馈评分偏低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合理安排教学任务，加强教学质量监控。加强优质教师引进，减轻教师教学工作量。加强教师课前备课准备工作监督，提高教师工作量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学生情况诊断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毕业就业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毕业生就业情况有待提高。反映出该校学生在就业市场上的竞争力较低，学生的综合能力不强，学生掌握的知识与能力不能与社会需求同步。专业在人才培养方面，未能真正实现以市场需求为导向，人才培养模式与用人单位实际需求之前存在偏差；在就业指导服务方面，就业服务平台未能给予该专业充分支持，专业的职业发展与指导工作未落实到位。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强化学生能力要求，提高专业实践能力。可根据实际产业的发展要求，在日常教学中进一步加强实习实践环节的培养，不断强化学生的实践操作能力，更好地指导学生将所学知识运用于实际领域，从而促进专业技能的提升，增加专业工作岗位的竞争力，提升专业整体的就业质量。同时有针对性的开展学生就业规划指导工作，为学生创业就业提供咨询、指导服务。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实验实训情况诊断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实验实训条件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实验实训条件不能满足人才培养的需求。专业在实验实训条件方面的投入较少。基础及办学条件较差。对日常教学教育的满足能力较低，影响人才培养的质量。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提高实验实训条件。加大在实验实训条件上的经费投入。积极寻求政府、企业的支持。努力提升基础办学条件质量，以适应教育教学的需求。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校企合作情况诊断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校企合作成果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校企合作成果不够突出。专业缺乏和企业的深度合作，企业对专业人才培养的贡献不大，企业对专业的支持程度不够。校企融合程度不高，专业服务社会能力不强。专业科研力量与企业、行业的新技术、新工艺发展速度不匹配，不能很好的为企业、行业发展提供技术方面的支持。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加强校企融合。搭建产学研结合的技术推广服务平台，主动面向行业企业开展技术服务、成果转化；瞄准经济社会发展中的重大理论和现实问题开展研究，研究成果对政府决策、政策制定、社会实践等产生重要影响，对社会进步产生积极的推动作用。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校企合作情况诊断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社会服务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服务社会项目有待进一步拓展，服务能力有待提升。反映出校企融合程度不高，专业服务社会能力不强。专业科研力量与企业、行业的新技术、新工艺发展速度不匹配，不能很好的为企业、行业发展提供技术方面的支持。</w:t>
            </w:r>
          </w:p>
        </w:tc>
        <w:tc>
          <w:tcPr>
            <w:tcW w:w="5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  <w:r>
              <w:rPr>
                <w:rFonts w:ascii="仿宋" w:hAnsi="仿宋" w:eastAsia="仿宋"/>
                <w:b w:val="0"/>
                <w:szCs w:val="21"/>
              </w:rPr>
              <w:t>增强技术服务能力。搭建多样化学习平台，主动面向相关行业企业开展企业员工和行业从业人员的新技术、新知识培训和学历提升。</w:t>
            </w:r>
          </w:p>
        </w:tc>
        <w:tc>
          <w:tcPr>
            <w:tcW w:w="20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" w:hAnsi="仿宋" w:eastAsia="仿宋"/>
                <w:b w:val="0"/>
                <w:szCs w:val="21"/>
              </w:rPr>
            </w:pP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D26"/>
    <w:multiLevelType w:val="multilevel"/>
    <w:tmpl w:val="06CC6D26"/>
    <w:lvl w:ilvl="0" w:tentative="0">
      <w:start w:val="1"/>
      <w:numFmt w:val="decimal"/>
      <w:lvlText w:val="1.%1."/>
      <w:lvlJc w:val="left"/>
      <w:pPr>
        <w:ind w:left="420" w:hanging="420"/>
      </w:pPr>
      <w:rPr>
        <w:rFonts w:hint="eastAsia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C65F47"/>
    <w:multiLevelType w:val="multilevel"/>
    <w:tmpl w:val="64C65F4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43EA3"/>
    <w:multiLevelType w:val="multilevel"/>
    <w:tmpl w:val="76F43E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76F43EA4"/>
    <w:multiLevelType w:val="multilevel"/>
    <w:tmpl w:val="76F43E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76F43EA5"/>
    <w:multiLevelType w:val="multilevel"/>
    <w:tmpl w:val="76F43E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5">
    <w:nsid w:val="76F43EA9"/>
    <w:multiLevelType w:val="multilevel"/>
    <w:tmpl w:val="76F43E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>
    <w:nsid w:val="76F43EAA"/>
    <w:multiLevelType w:val="multilevel"/>
    <w:tmpl w:val="76F43E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76F43EAB"/>
    <w:multiLevelType w:val="multilevel"/>
    <w:tmpl w:val="76F43E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8">
    <w:nsid w:val="76F43EAC"/>
    <w:multiLevelType w:val="multilevel"/>
    <w:tmpl w:val="76F43E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9">
    <w:nsid w:val="76F43EAD"/>
    <w:multiLevelType w:val="multilevel"/>
    <w:tmpl w:val="76F43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>
    <w:nsid w:val="76F43EAE"/>
    <w:multiLevelType w:val="multilevel"/>
    <w:tmpl w:val="76F43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1">
    <w:nsid w:val="76F43EAF"/>
    <w:multiLevelType w:val="multilevel"/>
    <w:tmpl w:val="76F43E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2">
    <w:nsid w:val="76F43EB0"/>
    <w:multiLevelType w:val="multilevel"/>
    <w:tmpl w:val="76F43E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1D11C4F"/>
    <w:rsid w:val="03C308FE"/>
    <w:rsid w:val="03E80800"/>
    <w:rsid w:val="05AD31B4"/>
    <w:rsid w:val="05B554E0"/>
    <w:rsid w:val="0A4C4786"/>
    <w:rsid w:val="0BB076D5"/>
    <w:rsid w:val="0BBA3043"/>
    <w:rsid w:val="0BEF69DB"/>
    <w:rsid w:val="0C106E48"/>
    <w:rsid w:val="0C1F7C9B"/>
    <w:rsid w:val="0D217CBC"/>
    <w:rsid w:val="0DE16F03"/>
    <w:rsid w:val="0E025692"/>
    <w:rsid w:val="0E20272E"/>
    <w:rsid w:val="0ED906BF"/>
    <w:rsid w:val="0FF4418A"/>
    <w:rsid w:val="0FFE2CB2"/>
    <w:rsid w:val="13F115E0"/>
    <w:rsid w:val="167578FA"/>
    <w:rsid w:val="17056D50"/>
    <w:rsid w:val="17222F1F"/>
    <w:rsid w:val="17631AC4"/>
    <w:rsid w:val="18BC711A"/>
    <w:rsid w:val="19301AB1"/>
    <w:rsid w:val="19640BEC"/>
    <w:rsid w:val="19AD1AA3"/>
    <w:rsid w:val="1A993D1D"/>
    <w:rsid w:val="1CC335C5"/>
    <w:rsid w:val="1DE31015"/>
    <w:rsid w:val="243B2B5F"/>
    <w:rsid w:val="24B17530"/>
    <w:rsid w:val="24BD3418"/>
    <w:rsid w:val="257E6CD1"/>
    <w:rsid w:val="25C04D77"/>
    <w:rsid w:val="278B6160"/>
    <w:rsid w:val="27CB0337"/>
    <w:rsid w:val="2B696523"/>
    <w:rsid w:val="2C776569"/>
    <w:rsid w:val="2C865253"/>
    <w:rsid w:val="2DAB15FC"/>
    <w:rsid w:val="2DBA35C2"/>
    <w:rsid w:val="2F4B2837"/>
    <w:rsid w:val="2F94112B"/>
    <w:rsid w:val="30F4200E"/>
    <w:rsid w:val="324311BE"/>
    <w:rsid w:val="33D538D2"/>
    <w:rsid w:val="353C5526"/>
    <w:rsid w:val="358771BC"/>
    <w:rsid w:val="365351A9"/>
    <w:rsid w:val="36B406C5"/>
    <w:rsid w:val="39F71246"/>
    <w:rsid w:val="3A3F3B97"/>
    <w:rsid w:val="3CFB18C5"/>
    <w:rsid w:val="3D0D0308"/>
    <w:rsid w:val="3DB039FA"/>
    <w:rsid w:val="3FD90A59"/>
    <w:rsid w:val="40DD0ADE"/>
    <w:rsid w:val="436A5945"/>
    <w:rsid w:val="444902B7"/>
    <w:rsid w:val="44752ACD"/>
    <w:rsid w:val="44D773E9"/>
    <w:rsid w:val="44DB1E01"/>
    <w:rsid w:val="463506FC"/>
    <w:rsid w:val="473A7AEE"/>
    <w:rsid w:val="4A2E4B83"/>
    <w:rsid w:val="4FD8405B"/>
    <w:rsid w:val="504A00A3"/>
    <w:rsid w:val="528F25BA"/>
    <w:rsid w:val="53150933"/>
    <w:rsid w:val="53E80407"/>
    <w:rsid w:val="5431747F"/>
    <w:rsid w:val="54F5309F"/>
    <w:rsid w:val="562273E3"/>
    <w:rsid w:val="591B31B4"/>
    <w:rsid w:val="5F0D3F21"/>
    <w:rsid w:val="5FD16602"/>
    <w:rsid w:val="610F7324"/>
    <w:rsid w:val="611975DC"/>
    <w:rsid w:val="6217224F"/>
    <w:rsid w:val="623F7A84"/>
    <w:rsid w:val="62493FDD"/>
    <w:rsid w:val="63B00D0D"/>
    <w:rsid w:val="66533E9C"/>
    <w:rsid w:val="68007E7A"/>
    <w:rsid w:val="69690119"/>
    <w:rsid w:val="69C572E1"/>
    <w:rsid w:val="6B35013F"/>
    <w:rsid w:val="6B3F1F8C"/>
    <w:rsid w:val="6C14615E"/>
    <w:rsid w:val="6CC06470"/>
    <w:rsid w:val="6E306774"/>
    <w:rsid w:val="6F6956CA"/>
    <w:rsid w:val="6FDD49CB"/>
    <w:rsid w:val="703A54F6"/>
    <w:rsid w:val="73591E51"/>
    <w:rsid w:val="74085DFA"/>
    <w:rsid w:val="743B6AED"/>
    <w:rsid w:val="75B433D3"/>
    <w:rsid w:val="76B14C88"/>
    <w:rsid w:val="76B47E1C"/>
    <w:rsid w:val="773A6481"/>
    <w:rsid w:val="78E70E31"/>
    <w:rsid w:val="794744F5"/>
    <w:rsid w:val="79E566EE"/>
    <w:rsid w:val="79E8184F"/>
    <w:rsid w:val="7BA07AF9"/>
    <w:rsid w:val="7BF50679"/>
    <w:rsid w:val="7C656F9A"/>
    <w:rsid w:val="7FF0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/>
    </w:pPr>
  </w:style>
  <w:style w:type="paragraph" w:styleId="7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/>
    </w:p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批注框文本 Char"/>
    <w:basedOn w:val="12"/>
    <w:link w:val="7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/>
    </w:pPr>
  </w:style>
  <w:style w:type="character" w:customStyle="1" w:styleId="18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0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1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23">
    <w:name w:val="标题 5 Char"/>
    <w:basedOn w:val="12"/>
    <w:link w:val="5"/>
    <w:semiHidden/>
    <w:qFormat/>
    <w:uiPriority w:val="9"/>
    <w:rPr>
      <w:b/>
      <w:bCs/>
      <w:sz w:val="28"/>
      <w:szCs w:val="28"/>
    </w:rPr>
  </w:style>
  <w:style w:type="character" w:customStyle="1" w:styleId="24">
    <w:name w:val="cred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2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3349DD-4C2B-4358-8CDC-9DC4D06E0F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312</Characters>
  <Lines>2</Lines>
  <Paragraphs>1</Paragraphs>
  <ScaleCrop>false</ScaleCrop>
  <LinksUpToDate>false</LinksUpToDate>
  <CharactersWithSpaces>365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2017-09-21T03:23:00Z</dcterms:created>
  <dc:creator>Windows 用户</dc:creator>
  <cp:lastModifiedBy>YYH</cp:lastModifiedBy>
  <dcterms:modified xsi:type="dcterms:W3CDTF">2018-04-16T14:25:32Z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2052-10.1.0.7224</vt:lpwstr>
  </property>
</Properties>
</file>