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DFKai-SB" w:cs="DFKai-SB" w:eastAsia="DFKai-SB" w:hAnsi="DFKai-SB"/>
          <w:b/>
          <w:bCs/>
          <w:sz w:val="34"/>
          <w:szCs w:val="34"/>
        </w:rPr>
        <w:t xml:space="preserve">端到端自動化機器學習平台：</w:t>
      </w:r>
    </w:p>
    <w:p>
      <w:pPr>
        <w:spacing w:after="80" w:before="0"/>
        <w:jc w:val="center"/>
      </w:pPr>
      <w:r>
        <w:rPr>
          <w:rFonts w:ascii="DFKai-SB" w:cs="DFKai-SB" w:eastAsia="DFKai-SB" w:hAnsi="DFKai-SB"/>
          <w:b/>
          <w:bCs/>
          <w:sz w:val="34"/>
          <w:szCs w:val="34"/>
        </w:rPr>
        <w:t xml:space="preserve">超越大型語言模型的結構化預測與決策支援</w:t>
      </w:r>
    </w:p>
    <w:p>
      <w:pPr>
        <w:spacing w:after="40" w:before="0"/>
        <w:jc w:val="center"/>
      </w:pPr>
      <w:r>
        <w:rPr>
          <w:rFonts w:ascii="Times New Roman" w:cs="Times New Roman" w:eastAsia="Times New Roman" w:hAnsi="Times New Roman"/>
          <w:i/>
          <w:iCs/>
          <w:color w:val="444444"/>
          <w:sz w:val="20"/>
          <w:szCs w:val="20"/>
        </w:rPr>
        <w:t xml:space="preserve">An End-to-End AutoML Platform for Predictive Modeling and Decision Support</w:t>
      </w:r>
    </w:p>
    <w:p>
      <w:pPr>
        <w:spacing w:after="40" w:before="0"/>
        <w:jc w:val="center"/>
      </w:pPr>
      <w:r>
        <w:rPr>
          <w:rFonts w:ascii="DFKai-SB" w:cs="DFKai-SB" w:eastAsia="DFKai-SB" w:hAnsi="DFKai-SB"/>
          <w:sz w:val="22"/>
          <w:szCs w:val="22"/>
        </w:rPr>
        <w:t xml:space="preserve">張多宇　林沁螢　陳宜安　楊浩翔　陳柏豐　鄧宏力</w:t>
      </w:r>
    </w:p>
    <w:p>
      <w:pPr>
        <w:spacing w:after="160" w:before="0"/>
        <w:jc w:val="center"/>
      </w:pPr>
      <w:r>
        <w:rPr>
          <w:rFonts w:ascii="DFKai-SB" w:cs="DFKai-SB" w:eastAsia="DFKai-SB" w:hAnsi="DFKai-SB"/>
          <w:i/>
          <w:iCs/>
          <w:color w:val="555555"/>
          <w:sz w:val="20"/>
          <w:szCs w:val="20"/>
        </w:rPr>
        <w:t xml:space="preserve">國立臺灣大學　資訊工程學系</w:t>
      </w:r>
    </w:p>
    <w:p>
      <w:pPr>
        <w:pBdr>
          <w:bottom w:val="single" w:color="2E4057" w:sz="8" w:space="1"/>
        </w:pBdr>
        <w:spacing w:after="180" w:before="0"/>
      </w:pPr>
      <w:r>
        <w:t xml:space="preserve"/>
      </w:r>
    </w:p>
    <w:p>
      <w:pPr>
        <w:spacing w:after="60" w:before="0" w:line="288"/>
        <w:ind w:left="360" w:right="360"/>
        <w:jc w:val="both"/>
      </w:pPr>
      <w:r>
        <w:rPr>
          <w:rFonts w:ascii="DFKai-SB" w:cs="DFKai-SB" w:eastAsia="DFKai-SB" w:hAnsi="DFKai-SB"/>
          <w:b/>
          <w:bCs/>
          <w:sz w:val="20"/>
          <w:szCs w:val="20"/>
        </w:rPr>
        <w:t xml:space="preserve">【摘要】</w:t>
      </w:r>
      <w:r>
        <w:rPr>
          <w:rFonts w:ascii="DFKai-SB" w:cs="DFKai-SB" w:eastAsia="DFKai-SB" w:hAnsi="DFKai-SB"/>
          <w:sz w:val="20"/>
          <w:szCs w:val="20"/>
        </w:rPr>
        <w:t xml:space="preserve">本專題提出一套完整的端到端自動化機器學習（AutoML）平台，專為結構化表格資料與時間序列資料的迴歸及分類任務設計。平台涵蓋自動資料清洗、特徵工程、模型選擇與超參數優化（HPO）及可解釋決策支援等核心功能。以 XGBoost 與 LightGBM 為主要學習器，結合 Optuna 貝葉斯搜尋與 SHAP 特徵歸因，平台能在無需人工介入的情況下，將原始資料轉化為可操作的預測決策。本研究亦直接回應課程主題「超越 ChatGPT：LLM 難以解決的 AI 問題」，透過量化比較證明大型語言模型在結構化預測、超參數優化與特徵工程等核心任務上的根本性局限。</w:t>
      </w:r>
    </w:p>
    <w:p>
      <w:pPr>
        <w:spacing w:after="40" w:before="40"/>
      </w:pPr>
      <w:r>
        <w:t xml:space="preserve"/>
      </w:r>
    </w:p>
    <w:p>
      <w:pPr>
        <w:pBdr>
          <w:bottom w:val="single" w:color="2E4057" w:sz="4" w:space="4"/>
        </w:pBdr>
        <w:spacing w:after="100" w:before="220"/>
      </w:pPr>
      <w:r>
        <w:rPr>
          <w:rFonts w:ascii="DFKai-SB" w:cs="DFKai-SB" w:eastAsia="DFKai-SB" w:hAnsi="DFKai-SB"/>
          <w:b/>
          <w:bCs/>
          <w:color w:val="2E4057"/>
          <w:sz w:val="26"/>
          <w:szCs w:val="26"/>
        </w:rPr>
        <w:t xml:space="preserve">一、動機、相關性、目標與挑戰</w:t>
      </w:r>
    </w:p>
    <w:p>
      <w:pPr>
        <w:spacing w:after="60" w:before="160"/>
      </w:pPr>
      <w:r>
        <w:rPr>
          <w:rFonts w:ascii="DFKai-SB" w:cs="DFKai-SB" w:eastAsia="DFKai-SB" w:hAnsi="DFKai-SB"/>
          <w:b/>
          <w:bCs/>
          <w:sz w:val="23"/>
          <w:szCs w:val="23"/>
        </w:rPr>
        <w:t xml:space="preserve">1.1　研究動機</w:t>
      </w:r>
    </w:p>
    <w:p>
      <w:pPr>
        <w:spacing w:after="80" w:before="80" w:line="300"/>
        <w:ind w:firstLine="480"/>
        <w:jc w:val="both"/>
      </w:pPr>
      <w:r>
        <w:rPr>
          <w:rFonts w:ascii="DFKai-SB" w:cs="DFKai-SB" w:eastAsia="DFKai-SB" w:hAnsi="DFKai-SB"/>
          <w:b w:val="false"/>
          <w:bCs w:val="false"/>
          <w:i w:val="false"/>
          <w:iCs w:val="false"/>
          <w:sz w:val="22"/>
          <w:szCs w:val="22"/>
        </w:rPr>
        <w:t xml:space="preserve">在當今資料驅動的產業環境中，金融、醫療、製造、零售等各領域均積累了龐大的結構化表格資料。然而，將原始資料轉化為高品質預測模型，需要經歷資料清洗、特徵工程、模型選擇、超參數調整及結果解釋等多個高度專業化的步驟，對非機器學習專家而言門檻極高。</w:t>
      </w:r>
    </w:p>
    <w:p>
      <w:pPr>
        <w:spacing w:after="80" w:before="80" w:line="300"/>
        <w:ind w:firstLine="480"/>
        <w:jc w:val="both"/>
      </w:pPr>
      <w:r>
        <w:rPr>
          <w:rFonts w:ascii="DFKai-SB" w:cs="DFKai-SB" w:eastAsia="DFKai-SB" w:hAnsi="DFKai-SB"/>
          <w:b w:val="false"/>
          <w:bCs w:val="false"/>
          <w:i w:val="false"/>
          <w:iCs w:val="false"/>
          <w:sz w:val="22"/>
          <w:szCs w:val="22"/>
        </w:rPr>
        <w:t xml:space="preserve">大型語言模型（LLM，如 ChatGPT、GPT-4）的崛起引發了「LLM 是否能取代專用 ML 系統」的廣泛討論。然而，嚴謹的學術研究已明確否定此一假設：Grinsztajn 等人（2022）在涵蓋 45 個資料集的大規模基準測試中證明，基於梯度提升樹的模型在中型表格資料上系統性地優於包含 Transformer 在內的所有深度學習方法；Fang 等人（2024）的調查則歸納出 LLM 處理表格資料的根本缺陷——序列化時的幻覺（hallucination）、對欄位順序的敏感性，以及無法執行迭代式算法優化。這些缺陷並非工程細節，而是源自 LLM「下一個 token 預測」典範與結構化定量預測需求之間的本質矛盾。</w:t>
      </w:r>
    </w:p>
    <w:p>
      <w:pPr>
        <w:spacing w:after="60" w:before="160"/>
      </w:pPr>
      <w:r>
        <w:rPr>
          <w:rFonts w:ascii="DFKai-SB" w:cs="DFKai-SB" w:eastAsia="DFKai-SB" w:hAnsi="DFKai-SB"/>
          <w:b/>
          <w:bCs/>
          <w:sz w:val="23"/>
          <w:szCs w:val="23"/>
        </w:rPr>
        <w:t xml:space="preserve">1.2　與課程主題的關聯</w:t>
      </w:r>
    </w:p>
    <w:p>
      <w:pPr>
        <w:spacing w:after="80" w:before="80" w:line="300"/>
        <w:ind w:firstLine="480"/>
        <w:jc w:val="both"/>
      </w:pPr>
      <w:r>
        <w:rPr>
          <w:rFonts w:ascii="DFKai-SB" w:cs="DFKai-SB" w:eastAsia="DFKai-SB" w:hAnsi="DFKai-SB"/>
          <w:b w:val="false"/>
          <w:bCs w:val="false"/>
          <w:i w:val="false"/>
          <w:iCs w:val="false"/>
          <w:sz w:val="22"/>
          <w:szCs w:val="22"/>
        </w:rPr>
        <w:t xml:space="preserve">本專題直接呼應課程核心命題「Beyond ChatGPT: AI Problems That LLMs Cannot Solve Well」。結構化表格預測正是 LLM 力有未逮之處：LLM 無法（i）系統性地搜尋數千種模型配置、（ii）執行嚴格的交叉驗證評估、（iii）保障特徵轉換的領域一致性，亦無法（iv）產生因果忠實的模型解釋。本平台以專用 AutoML 機制取代 LLM，並設計受控實驗量化此差距，將課程主題落實為具體的工程貢獻與實驗驗證。</w:t>
      </w:r>
    </w:p>
    <w:p>
      <w:pPr>
        <w:spacing w:after="60" w:before="160"/>
      </w:pPr>
      <w:r>
        <w:rPr>
          <w:rFonts w:ascii="DFKai-SB" w:cs="DFKai-SB" w:eastAsia="DFKai-SB" w:hAnsi="DFKai-SB"/>
          <w:b/>
          <w:bCs/>
          <w:sz w:val="23"/>
          <w:szCs w:val="23"/>
        </w:rPr>
        <w:t xml:space="preserve">1.3　研究目標</w:t>
      </w:r>
    </w:p>
    <w:p>
      <w:pPr>
        <w:spacing w:after="80" w:before="80" w:line="300"/>
        <w:ind w:firstLine="480"/>
        <w:jc w:val="both"/>
      </w:pPr>
      <w:r>
        <w:rPr>
          <w:rFonts w:ascii="DFKai-SB" w:cs="DFKai-SB" w:eastAsia="DFKai-SB" w:hAnsi="DFKai-SB"/>
          <w:b w:val="false"/>
          <w:bCs w:val="false"/>
          <w:i w:val="false"/>
          <w:iCs w:val="false"/>
          <w:sz w:val="22"/>
          <w:szCs w:val="22"/>
        </w:rPr>
        <w:t xml:space="preserve">本研究的目標是設計並實作一套完整的端到端 AutoML 平台，實現以下四項核心功能：（1）自動擷取、清洗及工程化異質表格與時間序列資料；（2）透過貝葉斯超參數搜尋自動完成模型選擇與調優；（3）同時支援迴歸（Regression）與分類（Classification）任務；（4）透過互動式視覺化儀表板提供可解釋的決策支援輸出，使領域專家能夠信任並運用模型預測結果。</w:t>
      </w:r>
    </w:p>
    <w:p>
      <w:pPr>
        <w:spacing w:after="60" w:before="160"/>
      </w:pPr>
      <w:r>
        <w:rPr>
          <w:rFonts w:ascii="DFKai-SB" w:cs="DFKai-SB" w:eastAsia="DFKai-SB" w:hAnsi="DFKai-SB"/>
          <w:b/>
          <w:bCs/>
          <w:sz w:val="23"/>
          <w:szCs w:val="23"/>
        </w:rPr>
        <w:t xml:space="preserve">1.4　核心挑戰</w:t>
      </w:r>
    </w:p>
    <w:p>
      <w:pPr>
        <w:spacing w:after="80" w:before="80" w:line="300"/>
        <w:ind w:firstLine="480"/>
        <w:jc w:val="both"/>
      </w:pPr>
      <w:r>
        <w:rPr>
          <w:rFonts w:ascii="DFKai-SB" w:cs="DFKai-SB" w:eastAsia="DFKai-SB" w:hAnsi="DFKai-SB"/>
          <w:b/>
          <w:bCs/>
          <w:i w:val="false"/>
          <w:iCs w:val="false"/>
          <w:sz w:val="22"/>
          <w:szCs w:val="22"/>
        </w:rPr>
        <w:t xml:space="preserve">（C1）異質資料品質：</w:t>
      </w:r>
      <w:r>
        <w:rPr>
          <w:rFonts w:ascii="DFKai-SB" w:cs="DFKai-SB" w:eastAsia="DFKai-SB" w:hAnsi="DFKai-SB"/>
          <w:b w:val="false"/>
          <w:bCs w:val="false"/>
          <w:i w:val="false"/>
          <w:iCs w:val="false"/>
          <w:sz w:val="22"/>
          <w:szCs w:val="22"/>
        </w:rPr>
        <w:t xml:space="preserve">真實資料集包含缺失值、混合資料型別（數值、類別、時間戳）、類別不平衡與離群值，需在無資料集特定人工介入的前提下自動處理。</w:t>
      </w:r>
    </w:p>
    <w:p>
      <w:pPr>
        <w:spacing w:after="80" w:before="80" w:line="300"/>
        <w:ind w:firstLine="480"/>
        <w:jc w:val="both"/>
      </w:pPr>
      <w:r>
        <w:rPr>
          <w:rFonts w:ascii="DFKai-SB" w:cs="DFKai-SB" w:eastAsia="DFKai-SB" w:hAnsi="DFKai-SB"/>
          <w:b/>
          <w:bCs/>
          <w:i w:val="false"/>
          <w:iCs w:val="false"/>
          <w:sz w:val="22"/>
          <w:szCs w:val="22"/>
        </w:rPr>
        <w:t xml:space="preserve">（C2）超參數搜尋空間爆炸：</w:t>
      </w:r>
      <w:r>
        <w:rPr>
          <w:rFonts w:ascii="DFKai-SB" w:cs="DFKai-SB" w:eastAsia="DFKai-SB" w:hAnsi="DFKai-SB"/>
          <w:b w:val="false"/>
          <w:bCs w:val="false"/>
          <w:i w:val="false"/>
          <w:iCs w:val="false"/>
          <w:sz w:val="22"/>
          <w:szCs w:val="22"/>
        </w:rPr>
        <w:t xml:space="preserve">前處理選擇、模型族與超參數的組合空間呈指數級增長，使窮舉搜尋完全不可行，需要高效的探索-利用平衡策略。</w:t>
      </w:r>
    </w:p>
    <w:p>
      <w:pPr>
        <w:spacing w:after="80" w:before="80" w:line="300"/>
        <w:ind w:firstLine="480"/>
        <w:jc w:val="both"/>
      </w:pPr>
      <w:r>
        <w:rPr>
          <w:rFonts w:ascii="DFKai-SB" w:cs="DFKai-SB" w:eastAsia="DFKai-SB" w:hAnsi="DFKai-SB"/>
          <w:b/>
          <w:bCs/>
          <w:i w:val="false"/>
          <w:iCs w:val="false"/>
          <w:sz w:val="22"/>
          <w:szCs w:val="22"/>
        </w:rPr>
        <w:t xml:space="preserve">（C3）時序資料的時間依存性：</w:t>
      </w:r>
      <w:r>
        <w:rPr>
          <w:rFonts w:ascii="DFKai-SB" w:cs="DFKai-SB" w:eastAsia="DFKai-SB" w:hAnsi="DFKai-SB"/>
          <w:b w:val="false"/>
          <w:bCs w:val="false"/>
          <w:i w:val="false"/>
          <w:iCs w:val="false"/>
          <w:sz w:val="22"/>
          <w:szCs w:val="22"/>
        </w:rPr>
        <w:t xml:space="preserve">時間序列資料違反 i.i.d. 假設，特徵提取須尊重時間順序，評估須採用時間感知交叉驗證以防止資料洩漏（data leakage）。</w:t>
      </w:r>
    </w:p>
    <w:p>
      <w:pPr>
        <w:spacing w:after="80" w:before="80" w:line="300"/>
        <w:ind w:firstLine="480"/>
        <w:jc w:val="both"/>
      </w:pPr>
      <w:r>
        <w:rPr>
          <w:rFonts w:ascii="DFKai-SB" w:cs="DFKai-SB" w:eastAsia="DFKai-SB" w:hAnsi="DFKai-SB"/>
          <w:b/>
          <w:bCs/>
          <w:i w:val="false"/>
          <w:iCs w:val="false"/>
          <w:sz w:val="22"/>
          <w:szCs w:val="22"/>
        </w:rPr>
        <w:t xml:space="preserve">（C4）可解釋性與預測性能的取捨：</w:t>
      </w:r>
      <w:r>
        <w:rPr>
          <w:rFonts w:ascii="DFKai-SB" w:cs="DFKai-SB" w:eastAsia="DFKai-SB" w:hAnsi="DFKai-SB"/>
          <w:b w:val="false"/>
          <w:bCs w:val="false"/>
          <w:i w:val="false"/>
          <w:iCs w:val="false"/>
          <w:sz w:val="22"/>
          <w:szCs w:val="22"/>
        </w:rPr>
        <w:t xml:space="preserve">高性能的集成模型本質上不透明，需要能對非技術決策者提供忠實、可操作解釋的算法機制。</w:t>
      </w:r>
    </w:p>
    <w:p>
      <w:pPr>
        <w:spacing w:after="80" w:before="80" w:line="300"/>
        <w:ind w:firstLine="480"/>
        <w:jc w:val="both"/>
      </w:pPr>
      <w:r>
        <w:rPr>
          <w:rFonts w:ascii="DFKai-SB" w:cs="DFKai-SB" w:eastAsia="DFKai-SB" w:hAnsi="DFKai-SB"/>
          <w:b/>
          <w:bCs/>
          <w:i w:val="false"/>
          <w:iCs w:val="false"/>
          <w:sz w:val="22"/>
          <w:szCs w:val="22"/>
        </w:rPr>
        <w:t xml:space="preserve">（C5）跨領域泛化能力：</w:t>
      </w:r>
      <w:r>
        <w:rPr>
          <w:rFonts w:ascii="DFKai-SB" w:cs="DFKai-SB" w:eastAsia="DFKai-SB" w:hAnsi="DFKai-SB"/>
          <w:b w:val="false"/>
          <w:bCs w:val="false"/>
          <w:i w:val="false"/>
          <w:iCs w:val="false"/>
          <w:sz w:val="22"/>
          <w:szCs w:val="22"/>
        </w:rPr>
        <w:t xml:space="preserve">平台需在統計特性差異懸殊的多元領域（金融、醫療、物流等）均維持強健的預測性能，要求元模型設計具備模型無關性。</w:t>
      </w:r>
    </w:p>
    <w:p>
      <w:pPr>
        <w:spacing w:after="40" w:before="40"/>
      </w:pPr>
      <w:r>
        <w:t xml:space="preserve"/>
      </w:r>
    </w:p>
    <w:p>
      <w:pPr>
        <w:pBdr>
          <w:bottom w:val="single" w:color="2E4057" w:sz="4" w:space="4"/>
        </w:pBdr>
        <w:spacing w:after="100" w:before="220"/>
      </w:pPr>
      <w:r>
        <w:rPr>
          <w:rFonts w:ascii="DFKai-SB" w:cs="DFKai-SB" w:eastAsia="DFKai-SB" w:hAnsi="DFKai-SB"/>
          <w:b/>
          <w:bCs/>
          <w:color w:val="2E4057"/>
          <w:sz w:val="26"/>
          <w:szCs w:val="26"/>
        </w:rPr>
        <w:t xml:space="preserve">二、相關研究</w:t>
      </w:r>
    </w:p>
    <w:p>
      <w:pPr>
        <w:spacing w:after="60" w:before="160"/>
      </w:pPr>
      <w:r>
        <w:rPr>
          <w:rFonts w:ascii="DFKai-SB" w:cs="DFKai-SB" w:eastAsia="DFKai-SB" w:hAnsi="DFKai-SB"/>
          <w:b/>
          <w:bCs/>
          <w:sz w:val="23"/>
          <w:szCs w:val="23"/>
        </w:rPr>
        <w:t xml:space="preserve">2.1　自動化機器學習系統</w:t>
      </w:r>
    </w:p>
    <w:p>
      <w:pPr>
        <w:spacing w:after="80" w:before="80" w:line="300"/>
        <w:ind w:firstLine="480"/>
        <w:jc w:val="both"/>
      </w:pPr>
      <w:r>
        <w:rPr>
          <w:rFonts w:ascii="DFKai-SB" w:cs="DFKai-SB" w:eastAsia="DFKai-SB" w:hAnsi="DFKai-SB"/>
          <w:b w:val="false"/>
          <w:bCs w:val="false"/>
          <w:i w:val="false"/>
          <w:iCs w:val="false"/>
          <w:sz w:val="22"/>
          <w:szCs w:val="22"/>
        </w:rPr>
        <w:t xml:space="preserve">Feurer 等人（2015）提出的 Auto-sklearn 是 AutoML 領域的開創性工作，將模型選擇與超參數優化統一定義為「結合算法選擇與超參數優化（CASH）問題」，以貝葉斯優化搜尋涵蓋 15 種分類器、14 種特徵前處理方法的結構化假設空間，並引入元學習（meta-learning）從歷史資料集暖啟動搜尋，贏得首屆 ChaLearn AutoML 競賽冠軍。Erickson 等人（2020）提出的 AutoGluon-Tabular 則採用多層堆疊集成策略，在 50 個 Kaggle 與 OpenML 任務的基準測試中超越 Auto-sklearn，使其預測精度超越 99% 的 Kaggle 競賽參賽者。相較於上述系統，本平台額外針對決策支援層與時間序列任務提供原生支援。</w:t>
      </w:r>
    </w:p>
    <w:p>
      <w:pPr>
        <w:spacing w:after="60" w:before="160"/>
      </w:pPr>
      <w:r>
        <w:rPr>
          <w:rFonts w:ascii="DFKai-SB" w:cs="DFKai-SB" w:eastAsia="DFKai-SB" w:hAnsi="DFKai-SB"/>
          <w:b/>
          <w:bCs/>
          <w:sz w:val="23"/>
          <w:szCs w:val="23"/>
        </w:rPr>
        <w:t xml:space="preserve">2.2　表格資料的主流學習器</w:t>
      </w:r>
    </w:p>
    <w:p>
      <w:pPr>
        <w:spacing w:after="80" w:before="80" w:line="300"/>
        <w:ind w:firstLine="480"/>
        <w:jc w:val="both"/>
      </w:pPr>
      <w:r>
        <w:rPr>
          <w:rFonts w:ascii="DFKai-SB" w:cs="DFKai-SB" w:eastAsia="DFKai-SB" w:hAnsi="DFKai-SB"/>
          <w:b w:val="false"/>
          <w:bCs w:val="false"/>
          <w:i w:val="false"/>
          <w:iCs w:val="false"/>
          <w:sz w:val="22"/>
          <w:szCs w:val="22"/>
        </w:rPr>
        <w:t xml:space="preserve">Chen 與 Guestrin（2016）提出的 XGBoost 引入稀疏感知分裂尋找算法與加權分位數草圖，實現了十億規模資料上的高效梯度提升樹訓練。Ke 等人（2017）的 LightGBM 透過梯度單側採樣（GOSS）與互斥特徵綁定（EFB），在幾乎不損精度的前提下將訓練速度提升逾 20 倍。Grinsztajn 等人（2022）的基準研究從理論與實驗兩面解釋了樹模型對無資訊特徵的天然魯棒性與非光滑決策邊界的適應能力，確立了梯度提升樹在表格資料上的主導地位。本平台以 XGBoost 與 LightGBM 為核心學習器，正是基於上述證據的設計選擇。</w:t>
      </w:r>
    </w:p>
    <w:p>
      <w:pPr>
        <w:spacing w:after="60" w:before="160"/>
      </w:pPr>
      <w:r>
        <w:rPr>
          <w:rFonts w:ascii="DFKai-SB" w:cs="DFKai-SB" w:eastAsia="DFKai-SB" w:hAnsi="DFKai-SB"/>
          <w:b/>
          <w:bCs/>
          <w:sz w:val="23"/>
          <w:szCs w:val="23"/>
        </w:rPr>
        <w:t xml:space="preserve">2.3　超參數優化</w:t>
      </w:r>
    </w:p>
    <w:p>
      <w:pPr>
        <w:spacing w:after="80" w:before="80" w:line="300"/>
        <w:ind w:firstLine="480"/>
        <w:jc w:val="both"/>
      </w:pPr>
      <w:r>
        <w:rPr>
          <w:rFonts w:ascii="DFKai-SB" w:cs="DFKai-SB" w:eastAsia="DFKai-SB" w:hAnsi="DFKai-SB"/>
          <w:b w:val="false"/>
          <w:bCs w:val="false"/>
          <w:i w:val="false"/>
          <w:iCs w:val="false"/>
          <w:sz w:val="22"/>
          <w:szCs w:val="22"/>
        </w:rPr>
        <w:t xml:space="preserve">Akiba 等人（2019）提出的 Optuna 採用「定義即運行（define-by-run）」API，以樹狀 Parzen 估計器（TPE）為預設採樣器，並支援 MedianPruner 早停策略，大幅降低無效試驗的計算開銷。本平台選用 Optuna 作為 HPO 後端，利用其動態搜尋空間定義能力，對多種模型族實現統一的超參數管理。</w:t>
      </w:r>
    </w:p>
    <w:p>
      <w:pPr>
        <w:spacing w:after="60" w:before="160"/>
      </w:pPr>
      <w:r>
        <w:rPr>
          <w:rFonts w:ascii="DFKai-SB" w:cs="DFKai-SB" w:eastAsia="DFKai-SB" w:hAnsi="DFKai-SB"/>
          <w:b/>
          <w:bCs/>
          <w:sz w:val="23"/>
          <w:szCs w:val="23"/>
        </w:rPr>
        <w:t xml:space="preserve">2.4　模型可解釋性</w:t>
      </w:r>
    </w:p>
    <w:p>
      <w:pPr>
        <w:spacing w:after="80" w:before="80" w:line="300"/>
        <w:ind w:firstLine="480"/>
        <w:jc w:val="both"/>
      </w:pPr>
      <w:r>
        <w:rPr>
          <w:rFonts w:ascii="DFKai-SB" w:cs="DFKai-SB" w:eastAsia="DFKai-SB" w:hAnsi="DFKai-SB"/>
          <w:b w:val="false"/>
          <w:bCs w:val="false"/>
          <w:i w:val="false"/>
          <w:iCs w:val="false"/>
          <w:sz w:val="22"/>
          <w:szCs w:val="22"/>
        </w:rPr>
        <w:t xml:space="preserve">Lundberg 與 Lee（2017）提出的 SHAP（SHapley Additive exPlanations）以合作博弈論的夏普利值為理論基礎，為每個預測的每個特徵賦予貢獻分數，並滿足局部準確性、缺失性與一致性三項公理。TreeSHAP 的多項式時間精確計算使其在大規模樹模型上具備實用性。本平台的可解釋性模組即以 TreeSHAP 為核心，提供全局特徵重要性、局部預測解釋與特徵交互分析。</w:t>
      </w:r>
    </w:p>
    <w:p>
      <w:pPr>
        <w:spacing w:after="60" w:before="160"/>
      </w:pPr>
      <w:r>
        <w:rPr>
          <w:rFonts w:ascii="DFKai-SB" w:cs="DFKai-SB" w:eastAsia="DFKai-SB" w:hAnsi="DFKai-SB"/>
          <w:b/>
          <w:bCs/>
          <w:sz w:val="23"/>
          <w:szCs w:val="23"/>
        </w:rPr>
        <w:t xml:space="preserve">2.5　LLM 在表格資料上的局限</w:t>
      </w:r>
    </w:p>
    <w:p>
      <w:pPr>
        <w:spacing w:after="80" w:before="80" w:line="300"/>
        <w:ind w:firstLine="480"/>
        <w:jc w:val="both"/>
      </w:pPr>
      <w:r>
        <w:rPr>
          <w:rFonts w:ascii="DFKai-SB" w:cs="DFKai-SB" w:eastAsia="DFKai-SB" w:hAnsi="DFKai-SB"/>
          <w:b w:val="false"/>
          <w:bCs w:val="false"/>
          <w:i w:val="false"/>
          <w:iCs w:val="false"/>
          <w:sz w:val="22"/>
          <w:szCs w:val="22"/>
        </w:rPr>
        <w:t xml:space="preserve">Hegselmann 等人（2023）的 TabLLM 以自然語言序列化表格列後輸入 LLM 進行少樣本分類，研究發現 LLM 僅在極少量樣本（n &lt; 100）時可與梯度提升樹抗衡，隨資料量增加則顯著落後。Fang 等人（2024）的系統性調查進一步歸納出 LLM 在表格任務上的三類失效模式：（i）序列化時的特徵值幻覺；（ii）對欄位排列順序的敏感性；（iii）無法執行迭代優化迴圈。這些發現從實驗層面確認 LLM 不適合承擔 AutoML 的核心職能，支撐了本研究的系統設計立場。</w:t>
      </w:r>
    </w:p>
    <w:p>
      <w:pPr>
        <w:spacing w:after="40" w:before="40"/>
      </w:pPr>
      <w:r>
        <w:t xml:space="preserve"/>
      </w:r>
    </w:p>
    <w:p>
      <w:pPr>
        <w:pBdr>
          <w:bottom w:val="single" w:color="2E4057" w:sz="4" w:space="4"/>
        </w:pBdr>
        <w:spacing w:after="100" w:before="220"/>
      </w:pPr>
      <w:r>
        <w:rPr>
          <w:rFonts w:ascii="DFKai-SB" w:cs="DFKai-SB" w:eastAsia="DFKai-SB" w:hAnsi="DFKai-SB"/>
          <w:b/>
          <w:bCs/>
          <w:color w:val="2E4057"/>
          <w:sz w:val="26"/>
          <w:szCs w:val="26"/>
        </w:rPr>
        <w:t xml:space="preserve">三、問題定義</w:t>
      </w:r>
    </w:p>
    <w:p>
      <w:pPr>
        <w:spacing w:after="80" w:before="80" w:line="300"/>
        <w:ind w:firstLine="480"/>
        <w:jc w:val="both"/>
      </w:pPr>
      <w:r>
        <w:rPr>
          <w:rFonts w:ascii="DFKai-SB" w:cs="DFKai-SB" w:eastAsia="DFKai-SB" w:hAnsi="DFKai-SB"/>
          <w:b w:val="false"/>
          <w:bCs w:val="false"/>
          <w:i w:val="false"/>
          <w:iCs w:val="false"/>
          <w:sz w:val="22"/>
          <w:szCs w:val="22"/>
        </w:rPr>
        <w:t xml:space="preserve">設原始表格資料集為 </w:t>
      </w:r>
      <w:r>
        <w:rPr>
          <w:rFonts w:ascii="Times New Roman" w:cs="Times New Roman" w:eastAsia="Times New Roman" w:hAnsi="Times New Roman"/>
          <w:b w:val="false"/>
          <w:bCs w:val="false"/>
          <w:i/>
          <w:iCs/>
          <w:sz w:val="22"/>
          <w:szCs w:val="22"/>
        </w:rPr>
        <w:t xml:space="preserve">D = {(x</w:t>
      </w:r>
      <w:r>
        <w:rPr>
          <w:rFonts w:ascii="Times New Roman" w:cs="Times New Roman" w:eastAsia="Times New Roman" w:hAnsi="Times New Roman"/>
          <w:b w:val="false"/>
          <w:bCs w:val="false"/>
          <w:i w:val="false"/>
          <w:iCs w:val="false"/>
          <w:sz w:val="22"/>
          <w:szCs w:val="22"/>
        </w:rPr>
        <w:t xml:space="preserve">ᵢ</w:t>
      </w:r>
      <w:r>
        <w:rPr>
          <w:rFonts w:ascii="Times New Roman" w:cs="Times New Roman" w:eastAsia="Times New Roman" w:hAnsi="Times New Roman"/>
          <w:b w:val="false"/>
          <w:bCs w:val="false"/>
          <w:i/>
          <w:iCs/>
          <w:sz w:val="22"/>
          <w:szCs w:val="22"/>
        </w:rPr>
        <w:t xml:space="preserve">, y</w:t>
      </w:r>
      <w:r>
        <w:rPr>
          <w:rFonts w:ascii="Times New Roman" w:cs="Times New Roman" w:eastAsia="Times New Roman" w:hAnsi="Times New Roman"/>
          <w:b w:val="false"/>
          <w:bCs w:val="false"/>
          <w:i w:val="false"/>
          <w:iCs w:val="false"/>
          <w:sz w:val="22"/>
          <w:szCs w:val="22"/>
        </w:rPr>
        <w:t xml:space="preserve">ᵢ</w:t>
      </w:r>
      <w:r>
        <w:rPr>
          <w:rFonts w:ascii="Times New Roman" w:cs="Times New Roman" w:eastAsia="Times New Roman" w:hAnsi="Times New Roman"/>
          <w:b w:val="false"/>
          <w:bCs w:val="false"/>
          <w:i w:val="false"/>
          <w:iCs w:val="false"/>
          <w:sz w:val="22"/>
          <w:szCs w:val="22"/>
        </w:rPr>
        <w:t xml:space="preserve">)}ⁿᵢ₌₁</w:t>
      </w:r>
      <w:r>
        <w:rPr>
          <w:rFonts w:ascii="DFKai-SB" w:cs="DFKai-SB" w:eastAsia="DFKai-SB" w:hAnsi="DFKai-SB"/>
          <w:b w:val="false"/>
          <w:bCs w:val="false"/>
          <w:i w:val="false"/>
          <w:iCs w:val="false"/>
          <w:sz w:val="22"/>
          <w:szCs w:val="22"/>
        </w:rPr>
        <w:t xml:space="preserve">，其中 </w:t>
      </w:r>
      <w:r>
        <w:rPr>
          <w:rFonts w:ascii="Times New Roman" w:cs="Times New Roman" w:eastAsia="Times New Roman" w:hAnsi="Times New Roman"/>
          <w:b w:val="false"/>
          <w:bCs w:val="false"/>
          <w:i/>
          <w:iCs/>
          <w:sz w:val="22"/>
          <w:szCs w:val="22"/>
        </w:rPr>
        <w:t xml:space="preserve">xᵢ ∈ X ⊆ ℝᵈ</w:t>
      </w:r>
      <w:r>
        <w:rPr>
          <w:rFonts w:ascii="DFKai-SB" w:cs="DFKai-SB" w:eastAsia="DFKai-SB" w:hAnsi="DFKai-SB"/>
          <w:b w:val="false"/>
          <w:bCs w:val="false"/>
          <w:i w:val="false"/>
          <w:iCs w:val="false"/>
          <w:sz w:val="22"/>
          <w:szCs w:val="22"/>
        </w:rPr>
        <w:t xml:space="preserve"> 為包含 </w:t>
      </w:r>
      <w:r>
        <w:rPr>
          <w:rFonts w:ascii="Times New Roman" w:cs="Times New Roman" w:eastAsia="Times New Roman" w:hAnsi="Times New Roman"/>
          <w:b w:val="false"/>
          <w:bCs w:val="false"/>
          <w:i/>
          <w:iCs/>
          <w:sz w:val="22"/>
          <w:szCs w:val="22"/>
        </w:rPr>
        <w:t xml:space="preserve">d</w:t>
      </w:r>
      <w:r>
        <w:rPr>
          <w:rFonts w:ascii="DFKai-SB" w:cs="DFKai-SB" w:eastAsia="DFKai-SB" w:hAnsi="DFKai-SB"/>
          <w:b w:val="false"/>
          <w:bCs w:val="false"/>
          <w:i w:val="false"/>
          <w:iCs w:val="false"/>
          <w:sz w:val="22"/>
          <w:szCs w:val="22"/>
        </w:rPr>
        <w:t xml:space="preserve"> 個異質屬性（數值、類別、時間戳）的特徵向量，</w:t>
      </w:r>
      <w:r>
        <w:rPr>
          <w:rFonts w:ascii="Times New Roman" w:cs="Times New Roman" w:eastAsia="Times New Roman" w:hAnsi="Times New Roman"/>
          <w:b w:val="false"/>
          <w:bCs w:val="false"/>
          <w:i/>
          <w:iCs/>
          <w:sz w:val="22"/>
          <w:szCs w:val="22"/>
        </w:rPr>
        <w:t xml:space="preserve">yᵢ ∈ Y</w:t>
      </w:r>
      <w:r>
        <w:rPr>
          <w:rFonts w:ascii="DFKai-SB" w:cs="DFKai-SB" w:eastAsia="DFKai-SB" w:hAnsi="DFKai-SB"/>
          <w:b w:val="false"/>
          <w:bCs w:val="false"/>
          <w:i w:val="false"/>
          <w:iCs w:val="false"/>
          <w:sz w:val="22"/>
          <w:szCs w:val="22"/>
        </w:rPr>
        <w:t xml:space="preserve"> 為目標變數（迴歸：</w:t>
      </w:r>
      <w:r>
        <w:rPr>
          <w:rFonts w:ascii="Times New Roman" w:cs="Times New Roman" w:eastAsia="Times New Roman" w:hAnsi="Times New Roman"/>
          <w:b w:val="false"/>
          <w:bCs w:val="false"/>
          <w:i/>
          <w:iCs/>
          <w:sz w:val="22"/>
          <w:szCs w:val="22"/>
        </w:rPr>
        <w:t xml:space="preserve">Y ⊆ ℝ</w:t>
      </w:r>
      <w:r>
        <w:rPr>
          <w:rFonts w:ascii="DFKai-SB" w:cs="DFKai-SB" w:eastAsia="DFKai-SB" w:hAnsi="DFKai-SB"/>
          <w:b w:val="false"/>
          <w:bCs w:val="false"/>
          <w:i w:val="false"/>
          <w:iCs w:val="false"/>
          <w:sz w:val="22"/>
          <w:szCs w:val="22"/>
        </w:rPr>
        <w:t xml:space="preserve">；分類：</w:t>
      </w:r>
      <w:r>
        <w:rPr>
          <w:rFonts w:ascii="Times New Roman" w:cs="Times New Roman" w:eastAsia="Times New Roman" w:hAnsi="Times New Roman"/>
          <w:b w:val="false"/>
          <w:bCs w:val="false"/>
          <w:i/>
          <w:iCs/>
          <w:sz w:val="22"/>
          <w:szCs w:val="22"/>
        </w:rPr>
        <w:t xml:space="preserve">Y = {1,…,C}</w:t>
      </w:r>
      <w:r>
        <w:rPr>
          <w:rFonts w:ascii="DFKai-SB" w:cs="DFKai-SB" w:eastAsia="DFKai-SB" w:hAnsi="DFKai-SB"/>
          <w:b w:val="false"/>
          <w:bCs w:val="false"/>
          <w:i w:val="false"/>
          <w:iCs w:val="false"/>
          <w:sz w:val="22"/>
          <w:szCs w:val="22"/>
        </w:rPr>
        <w:t xml:space="preserve">）。資料可能含有缺失值、離群值與類別不平衡。</w:t>
      </w:r>
    </w:p>
    <w:p>
      <w:pPr>
        <w:spacing w:after="80" w:before="80" w:line="300"/>
        <w:ind w:firstLine="480"/>
        <w:jc w:val="both"/>
      </w:pPr>
      <w:r>
        <w:rPr>
          <w:rFonts w:ascii="DFKai-SB" w:cs="DFKai-SB" w:eastAsia="DFKai-SB" w:hAnsi="DFKai-SB"/>
          <w:b w:val="false"/>
          <w:bCs w:val="false"/>
          <w:i w:val="false"/>
          <w:iCs w:val="false"/>
          <w:sz w:val="22"/>
          <w:szCs w:val="22"/>
        </w:rPr>
        <w:t xml:space="preserve">定義機器學習管線為 </w:t>
      </w:r>
      <w:r>
        <w:rPr>
          <w:rFonts w:ascii="Times New Roman" w:cs="Times New Roman" w:eastAsia="Times New Roman" w:hAnsi="Times New Roman"/>
          <w:b w:val="false"/>
          <w:bCs w:val="false"/>
          <w:i/>
          <w:iCs/>
          <w:sz w:val="22"/>
          <w:szCs w:val="22"/>
        </w:rPr>
        <w:t xml:space="preserve">Φ = f ∘ g</w:t>
      </w:r>
      <w:r>
        <w:rPr>
          <w:rFonts w:ascii="DFKai-SB" w:cs="DFKai-SB" w:eastAsia="DFKai-SB" w:hAnsi="DFKai-SB"/>
          <w:b w:val="false"/>
          <w:bCs w:val="false"/>
          <w:i w:val="false"/>
          <w:iCs w:val="false"/>
          <w:sz w:val="22"/>
          <w:szCs w:val="22"/>
        </w:rPr>
        <w:t xml:space="preserve">，其中 </w:t>
      </w:r>
      <w:r>
        <w:rPr>
          <w:rFonts w:ascii="Times New Roman" w:cs="Times New Roman" w:eastAsia="Times New Roman" w:hAnsi="Times New Roman"/>
          <w:b w:val="false"/>
          <w:bCs w:val="false"/>
          <w:i/>
          <w:iCs/>
          <w:sz w:val="22"/>
          <w:szCs w:val="22"/>
        </w:rPr>
        <w:t xml:space="preserve">g: X → X′</w:t>
      </w:r>
      <w:r>
        <w:rPr>
          <w:rFonts w:ascii="DFKai-SB" w:cs="DFKai-SB" w:eastAsia="DFKai-SB" w:hAnsi="DFKai-SB"/>
          <w:b w:val="false"/>
          <w:bCs w:val="false"/>
          <w:i w:val="false"/>
          <w:iCs w:val="false"/>
          <w:sz w:val="22"/>
          <w:szCs w:val="22"/>
        </w:rPr>
        <w:t xml:space="preserve"> 為涵蓋前處理與特徵工程的資料轉換算子，</w:t>
      </w:r>
      <w:r>
        <w:rPr>
          <w:rFonts w:ascii="Times New Roman" w:cs="Times New Roman" w:eastAsia="Times New Roman" w:hAnsi="Times New Roman"/>
          <w:b w:val="false"/>
          <w:bCs w:val="false"/>
          <w:i/>
          <w:iCs/>
          <w:sz w:val="22"/>
          <w:szCs w:val="22"/>
        </w:rPr>
        <w:t xml:space="preserve">f: X′ → Y</w:t>
      </w:r>
      <w:r>
        <w:rPr>
          <w:rFonts w:ascii="DFKai-SB" w:cs="DFKai-SB" w:eastAsia="DFKai-SB" w:hAnsi="DFKai-SB"/>
          <w:b w:val="false"/>
          <w:bCs w:val="false"/>
          <w:i w:val="false"/>
          <w:iCs w:val="false"/>
          <w:sz w:val="22"/>
          <w:szCs w:val="22"/>
        </w:rPr>
        <w:t xml:space="preserve"> 為以超參數 </w:t>
      </w:r>
      <w:r>
        <w:rPr>
          <w:rFonts w:ascii="Times New Roman" w:cs="Times New Roman" w:eastAsia="Times New Roman" w:hAnsi="Times New Roman"/>
          <w:b w:val="false"/>
          <w:bCs w:val="false"/>
          <w:i/>
          <w:iCs/>
          <w:sz w:val="22"/>
          <w:szCs w:val="22"/>
        </w:rPr>
        <w:t xml:space="preserve">λ ∈ Λ(f)</w:t>
      </w:r>
      <w:r>
        <w:rPr>
          <w:rFonts w:ascii="DFKai-SB" w:cs="DFKai-SB" w:eastAsia="DFKai-SB" w:hAnsi="DFKai-SB"/>
          <w:b w:val="false"/>
          <w:bCs w:val="false"/>
          <w:i w:val="false"/>
          <w:iCs w:val="false"/>
          <w:sz w:val="22"/>
          <w:szCs w:val="22"/>
        </w:rPr>
        <w:t xml:space="preserve"> 參數化的預測模型。聯合配置空間定義為：</w:t>
      </w:r>
    </w:p>
    <w:p>
      <w:pPr>
        <w:spacing w:after="80" w:before="80"/>
        <w:jc w:val="center"/>
      </w:pPr>
      <w:r>
        <w:rPr>
          <w:rFonts w:ascii="Times New Roman" w:cs="Times New Roman" w:eastAsia="Times New Roman" w:hAnsi="Times New Roman"/>
          <w:i/>
          <w:iCs/>
          <w:sz w:val="22"/>
          <w:szCs w:val="22"/>
        </w:rPr>
        <w:t xml:space="preserve">Ω = { (g, f, λ) : g ∈ G,  f ∈ F,  λ ∈ Λ(f) }</w:t>
      </w:r>
    </w:p>
    <w:p>
      <w:pPr>
        <w:spacing w:after="80" w:before="80" w:line="300"/>
        <w:ind w:firstLine="480"/>
        <w:jc w:val="both"/>
      </w:pPr>
      <w:r>
        <w:rPr>
          <w:rFonts w:ascii="DFKai-SB" w:cs="DFKai-SB" w:eastAsia="DFKai-SB" w:hAnsi="DFKai-SB"/>
          <w:b w:val="false"/>
          <w:bCs w:val="false"/>
          <w:i w:val="false"/>
          <w:iCs w:val="false"/>
          <w:sz w:val="22"/>
          <w:szCs w:val="22"/>
        </w:rPr>
        <w:t xml:space="preserve">AutoML 優化目標為：</w:t>
      </w:r>
    </w:p>
    <w:p>
      <w:pPr>
        <w:spacing w:after="80" w:before="80"/>
        <w:jc w:val="center"/>
      </w:pPr>
      <w:r>
        <w:rPr>
          <w:rFonts w:ascii="Times New Roman" w:cs="Times New Roman" w:eastAsia="Times New Roman" w:hAnsi="Times New Roman"/>
          <w:i/>
          <w:iCs/>
          <w:sz w:val="22"/>
          <w:szCs w:val="22"/>
        </w:rPr>
        <w:t xml:space="preserve">(g*, f*, λ*) = argmin(g,f,λ)∈Ω  𝔼[ ℒ(f(g(x)), y) ]</w:t>
      </w:r>
    </w:p>
    <w:p>
      <w:pPr>
        <w:spacing w:after="80" w:before="80" w:line="300"/>
        <w:ind w:firstLine="480"/>
        <w:jc w:val="both"/>
      </w:pPr>
      <w:r>
        <w:rPr>
          <w:rFonts w:ascii="DFKai-SB" w:cs="DFKai-SB" w:eastAsia="DFKai-SB" w:hAnsi="DFKai-SB"/>
          <w:b w:val="false"/>
          <w:bCs w:val="false"/>
          <w:i w:val="false"/>
          <w:iCs w:val="false"/>
          <w:sz w:val="22"/>
          <w:szCs w:val="22"/>
        </w:rPr>
        <w:t xml:space="preserve">其中損失函數 </w:t>
      </w:r>
      <w:r>
        <w:rPr>
          <w:rFonts w:ascii="Times New Roman" w:cs="Times New Roman" w:eastAsia="Times New Roman" w:hAnsi="Times New Roman"/>
          <w:b w:val="false"/>
          <w:bCs w:val="false"/>
          <w:i/>
          <w:iCs/>
          <w:sz w:val="22"/>
          <w:szCs w:val="22"/>
        </w:rPr>
        <w:t xml:space="preserve">ℒ</w:t>
      </w:r>
      <w:r>
        <w:rPr>
          <w:rFonts w:ascii="DFKai-SB" w:cs="DFKai-SB" w:eastAsia="DFKai-SB" w:hAnsi="DFKai-SB"/>
          <w:b w:val="false"/>
          <w:bCs w:val="false"/>
          <w:i w:val="false"/>
          <w:iCs w:val="false"/>
          <w:sz w:val="22"/>
          <w:szCs w:val="22"/>
        </w:rPr>
        <w:t xml:space="preserve"> 依任務類型選定（迴歸採均方誤差，分類採交叉熵），期望值以 </w:t>
      </w:r>
      <w:r>
        <w:rPr>
          <w:rFonts w:ascii="Times New Roman" w:cs="Times New Roman" w:eastAsia="Times New Roman" w:hAnsi="Times New Roman"/>
          <w:b w:val="false"/>
          <w:bCs w:val="false"/>
          <w:i/>
          <w:iCs/>
          <w:sz w:val="22"/>
          <w:szCs w:val="22"/>
        </w:rPr>
        <w:t xml:space="preserve">k</w:t>
      </w:r>
      <w:r>
        <w:rPr>
          <w:rFonts w:ascii="DFKai-SB" w:cs="DFKai-SB" w:eastAsia="DFKai-SB" w:hAnsi="DFKai-SB"/>
          <w:b w:val="false"/>
          <w:bCs w:val="false"/>
          <w:i w:val="false"/>
          <w:iCs w:val="false"/>
          <w:sz w:val="22"/>
          <w:szCs w:val="22"/>
        </w:rPr>
        <w:t xml:space="preserve"> 折交叉驗證估算；時序任務則以時間感知分割取代標準 </w:t>
      </w:r>
      <w:r>
        <w:rPr>
          <w:rFonts w:ascii="Times New Roman" w:cs="Times New Roman" w:eastAsia="Times New Roman" w:hAnsi="Times New Roman"/>
          <w:b w:val="false"/>
          <w:bCs w:val="false"/>
          <w:i/>
          <w:iCs/>
          <w:sz w:val="22"/>
          <w:szCs w:val="22"/>
        </w:rPr>
        <w:t xml:space="preserve">k</w:t>
      </w:r>
      <w:r>
        <w:rPr>
          <w:rFonts w:ascii="DFKai-SB" w:cs="DFKai-SB" w:eastAsia="DFKai-SB" w:hAnsi="DFKai-SB"/>
          <w:b w:val="false"/>
          <w:bCs w:val="false"/>
          <w:i w:val="false"/>
          <w:iCs w:val="false"/>
          <w:sz w:val="22"/>
          <w:szCs w:val="22"/>
        </w:rPr>
        <w:t xml:space="preserve"> 折，防止未來資料洩漏至訓練集。</w:t>
      </w:r>
    </w:p>
    <w:p>
      <w:pPr>
        <w:spacing w:after="80" w:before="80" w:line="300"/>
        <w:ind w:firstLine="480"/>
        <w:jc w:val="both"/>
      </w:pPr>
      <w:r>
        <w:rPr>
          <w:rFonts w:ascii="DFKai-SB" w:cs="DFKai-SB" w:eastAsia="DFKai-SB" w:hAnsi="DFKai-SB"/>
          <w:b w:val="false"/>
          <w:bCs w:val="false"/>
          <w:i w:val="false"/>
          <w:iCs w:val="false"/>
          <w:sz w:val="22"/>
          <w:szCs w:val="22"/>
        </w:rPr>
        <w:t xml:space="preserve">平台進一步要求對每個預測產生解釋 </w:t>
      </w:r>
      <w:r>
        <w:rPr>
          <w:rFonts w:ascii="Times New Roman" w:cs="Times New Roman" w:eastAsia="Times New Roman" w:hAnsi="Times New Roman"/>
          <w:b w:val="false"/>
          <w:bCs w:val="false"/>
          <w:i/>
          <w:iCs/>
          <w:sz w:val="22"/>
          <w:szCs w:val="22"/>
        </w:rPr>
        <w:t xml:space="preserve">E = φ(Φ, x)</w:t>
      </w:r>
      <w:r>
        <w:rPr>
          <w:rFonts w:ascii="DFKai-SB" w:cs="DFKai-SB" w:eastAsia="DFKai-SB" w:hAnsi="DFKai-SB"/>
          <w:b w:val="false"/>
          <w:bCs w:val="false"/>
          <w:i w:val="false"/>
          <w:iCs w:val="false"/>
          <w:sz w:val="22"/>
          <w:szCs w:val="22"/>
        </w:rPr>
        <w:t xml:space="preserve">，且 </w:t>
      </w:r>
      <w:r>
        <w:rPr>
          <w:rFonts w:ascii="Times New Roman" w:cs="Times New Roman" w:eastAsia="Times New Roman" w:hAnsi="Times New Roman"/>
          <w:b w:val="false"/>
          <w:bCs w:val="false"/>
          <w:i/>
          <w:iCs/>
          <w:sz w:val="22"/>
          <w:szCs w:val="22"/>
        </w:rPr>
        <w:t xml:space="preserve">φ</w:t>
      </w:r>
      <w:r>
        <w:rPr>
          <w:rFonts w:ascii="DFKai-SB" w:cs="DFKai-SB" w:eastAsia="DFKai-SB" w:hAnsi="DFKai-SB"/>
          <w:b w:val="false"/>
          <w:bCs w:val="false"/>
          <w:i w:val="false"/>
          <w:iCs w:val="false"/>
          <w:sz w:val="22"/>
          <w:szCs w:val="22"/>
        </w:rPr>
        <w:t xml:space="preserve"> 必須滿足 SHAP 三公理——局部準確性、缺失性、一致性——確保決策支援層提供理論可靠的解釋，而非任意近似。</w:t>
      </w:r>
    </w:p>
    <w:p>
      <w:pPr>
        <w:spacing w:after="40" w:before="40"/>
      </w:pPr>
      <w:r>
        <w:t xml:space="preserve"/>
      </w:r>
    </w:p>
    <w:p>
      <w:pPr>
        <w:pBdr>
          <w:bottom w:val="single" w:color="2E4057" w:sz="4" w:space="4"/>
        </w:pBdr>
        <w:spacing w:after="100" w:before="220"/>
      </w:pPr>
      <w:r>
        <w:rPr>
          <w:rFonts w:ascii="DFKai-SB" w:cs="DFKai-SB" w:eastAsia="DFKai-SB" w:hAnsi="DFKai-SB"/>
          <w:b/>
          <w:bCs/>
          <w:color w:val="2E4057"/>
          <w:sz w:val="26"/>
          <w:szCs w:val="26"/>
        </w:rPr>
        <w:t xml:space="preserve">四、研究方法</w:t>
      </w:r>
    </w:p>
    <w:p>
      <w:pPr>
        <w:spacing w:after="80" w:before="80" w:line="300"/>
        <w:ind w:firstLine="480"/>
        <w:jc w:val="both"/>
      </w:pPr>
      <w:r>
        <w:rPr>
          <w:rFonts w:ascii="DFKai-SB" w:cs="DFKai-SB" w:eastAsia="DFKai-SB" w:hAnsi="DFKai-SB"/>
          <w:b w:val="false"/>
          <w:bCs w:val="false"/>
          <w:i w:val="false"/>
          <w:iCs w:val="false"/>
          <w:sz w:val="22"/>
          <w:szCs w:val="22"/>
        </w:rPr>
        <w:t xml:space="preserve">本平台由四個依序銜接的模組構成：（1）自動化資料前處理、（2）特徵工程、（3）模型選擇與超參數優化、（4）可解釋決策支援。以下分述各模組設計。</w:t>
      </w:r>
    </w:p>
    <w:p>
      <w:pPr>
        <w:spacing w:after="60" w:before="160"/>
      </w:pPr>
      <w:r>
        <w:rPr>
          <w:rFonts w:ascii="DFKai-SB" w:cs="DFKai-SB" w:eastAsia="DFKai-SB" w:hAnsi="DFKai-SB"/>
          <w:b/>
          <w:bCs/>
          <w:sz w:val="23"/>
          <w:szCs w:val="23"/>
        </w:rPr>
        <w:t xml:space="preserve">4.1　自動化資料前處理</w:t>
      </w:r>
    </w:p>
    <w:p>
      <w:pPr>
        <w:spacing w:after="80" w:before="80" w:line="300"/>
        <w:ind w:firstLine="480"/>
        <w:jc w:val="both"/>
      </w:pPr>
      <w:r>
        <w:rPr>
          <w:rFonts w:ascii="DFKai-SB" w:cs="DFKai-SB" w:eastAsia="DFKai-SB" w:hAnsi="DFKai-SB"/>
          <w:b w:val="false"/>
          <w:bCs w:val="false"/>
          <w:i w:val="false"/>
          <w:iCs w:val="false"/>
          <w:sz w:val="22"/>
          <w:szCs w:val="22"/>
        </w:rPr>
        <w:t xml:space="preserve">前處理模組接受原始 CSV 或時序輸入，自動執行：（a）</w:t>
      </w:r>
      <w:r>
        <w:rPr>
          <w:rFonts w:ascii="DFKai-SB" w:cs="DFKai-SB" w:eastAsia="DFKai-SB" w:hAnsi="DFKai-SB"/>
          <w:b/>
          <w:bCs/>
          <w:i w:val="false"/>
          <w:iCs w:val="false"/>
          <w:sz w:val="22"/>
          <w:szCs w:val="22"/>
        </w:rPr>
        <w:t xml:space="preserve">型別推斷</w:t>
      </w:r>
      <w:r>
        <w:rPr>
          <w:rFonts w:ascii="DFKai-SB" w:cs="DFKai-SB" w:eastAsia="DFKai-SB" w:hAnsi="DFKai-SB"/>
          <w:b w:val="false"/>
          <w:bCs w:val="false"/>
          <w:i w:val="false"/>
          <w:iCs w:val="false"/>
          <w:sz w:val="22"/>
          <w:szCs w:val="22"/>
        </w:rPr>
        <w:t xml:space="preserve">——依據基數、資料型別與值域分布自動識別數值、類別（名目/順序）、日期時間欄位；（b）</w:t>
      </w:r>
      <w:r>
        <w:rPr>
          <w:rFonts w:ascii="DFKai-SB" w:cs="DFKai-SB" w:eastAsia="DFKai-SB" w:hAnsi="DFKai-SB"/>
          <w:b/>
          <w:bCs/>
          <w:i w:val="false"/>
          <w:iCs w:val="false"/>
          <w:sz w:val="22"/>
          <w:szCs w:val="22"/>
        </w:rPr>
        <w:t xml:space="preserve">缺失值填補</w:t>
      </w:r>
      <w:r>
        <w:rPr>
          <w:rFonts w:ascii="DFKai-SB" w:cs="DFKai-SB" w:eastAsia="DFKai-SB" w:hAnsi="DFKai-SB"/>
          <w:b w:val="false"/>
          <w:bCs w:val="false"/>
          <w:i w:val="false"/>
          <w:iCs w:val="false"/>
          <w:sz w:val="22"/>
          <w:szCs w:val="22"/>
        </w:rPr>
        <w:t xml:space="preserve">——數值欄以中位數填補並附加缺失指示器，類別欄以眾數或「MISSING」標記填補；（c）</w:t>
      </w:r>
      <w:r>
        <w:rPr>
          <w:rFonts w:ascii="DFKai-SB" w:cs="DFKai-SB" w:eastAsia="DFKai-SB" w:hAnsi="DFKai-SB"/>
          <w:b/>
          <w:bCs/>
          <w:i w:val="false"/>
          <w:iCs w:val="false"/>
          <w:sz w:val="22"/>
          <w:szCs w:val="22"/>
        </w:rPr>
        <w:t xml:space="preserve">離群值處理</w:t>
      </w:r>
      <w:r>
        <w:rPr>
          <w:rFonts w:ascii="DFKai-SB" w:cs="DFKai-SB" w:eastAsia="DFKai-SB" w:hAnsi="DFKai-SB"/>
          <w:b w:val="false"/>
          <w:bCs w:val="false"/>
          <w:i w:val="false"/>
          <w:iCs w:val="false"/>
          <w:sz w:val="22"/>
          <w:szCs w:val="22"/>
        </w:rPr>
        <w:t xml:space="preserve">——以 Tukey IQR 法進行截尾（Winsorization）；（d）</w:t>
      </w:r>
      <w:r>
        <w:rPr>
          <w:rFonts w:ascii="DFKai-SB" w:cs="DFKai-SB" w:eastAsia="DFKai-SB" w:hAnsi="DFKai-SB"/>
          <w:b/>
          <w:bCs/>
          <w:i w:val="false"/>
          <w:iCs w:val="false"/>
          <w:sz w:val="22"/>
          <w:szCs w:val="22"/>
        </w:rPr>
        <w:t xml:space="preserve">編碼</w:t>
      </w:r>
      <w:r>
        <w:rPr>
          <w:rFonts w:ascii="DFKai-SB" w:cs="DFKai-SB" w:eastAsia="DFKai-SB" w:hAnsi="DFKai-SB"/>
          <w:b w:val="false"/>
          <w:bCs w:val="false"/>
          <w:i w:val="false"/>
          <w:iCs w:val="false"/>
          <w:sz w:val="22"/>
          <w:szCs w:val="22"/>
        </w:rPr>
        <w:t xml:space="preserve">——高基數類別特徵採目標編碼（Target Encoding）以防維度爆炸，低基數特徵採獨熱編碼；（e）</w:t>
      </w:r>
      <w:r>
        <w:rPr>
          <w:rFonts w:ascii="DFKai-SB" w:cs="DFKai-SB" w:eastAsia="DFKai-SB" w:hAnsi="DFKai-SB"/>
          <w:b/>
          <w:bCs/>
          <w:i w:val="false"/>
          <w:iCs w:val="false"/>
          <w:sz w:val="22"/>
          <w:szCs w:val="22"/>
        </w:rPr>
        <w:t xml:space="preserve">類別不平衡矯正</w:t>
      </w:r>
      <w:r>
        <w:rPr>
          <w:rFonts w:ascii="DFKai-SB" w:cs="DFKai-SB" w:eastAsia="DFKai-SB" w:hAnsi="DFKai-SB"/>
          <w:b w:val="false"/>
          <w:bCs w:val="false"/>
          <w:i w:val="false"/>
          <w:iCs w:val="false"/>
          <w:sz w:val="22"/>
          <w:szCs w:val="22"/>
        </w:rPr>
        <w:t xml:space="preserve">——分類任務若不平衡比例超過可配置閾值，選擇性套用 SMOTE 過採樣。</w:t>
      </w:r>
    </w:p>
    <w:p>
      <w:pPr>
        <w:spacing w:after="60" w:before="160"/>
      </w:pPr>
      <w:r>
        <w:rPr>
          <w:rFonts w:ascii="DFKai-SB" w:cs="DFKai-SB" w:eastAsia="DFKai-SB" w:hAnsi="DFKai-SB"/>
          <w:b/>
          <w:bCs/>
          <w:sz w:val="23"/>
          <w:szCs w:val="23"/>
        </w:rPr>
        <w:t xml:space="preserve">4.2　特徵工程</w:t>
      </w:r>
    </w:p>
    <w:p>
      <w:pPr>
        <w:spacing w:after="80" w:before="80" w:line="300"/>
        <w:ind w:firstLine="480"/>
        <w:jc w:val="both"/>
      </w:pPr>
      <w:r>
        <w:rPr>
          <w:rFonts w:ascii="DFKai-SB" w:cs="DFKai-SB" w:eastAsia="DFKai-SB" w:hAnsi="DFKai-SB"/>
          <w:b w:val="false"/>
          <w:bCs w:val="false"/>
          <w:i w:val="false"/>
          <w:iCs w:val="false"/>
          <w:sz w:val="22"/>
          <w:szCs w:val="22"/>
        </w:rPr>
        <w:t xml:space="preserve">針對</w:t>
      </w:r>
      <w:r>
        <w:rPr>
          <w:rFonts w:ascii="DFKai-SB" w:cs="DFKai-SB" w:eastAsia="DFKai-SB" w:hAnsi="DFKai-SB"/>
          <w:b/>
          <w:bCs/>
          <w:i w:val="false"/>
          <w:iCs w:val="false"/>
          <w:sz w:val="22"/>
          <w:szCs w:val="22"/>
        </w:rPr>
        <w:t xml:space="preserve">靜態表格資料</w:t>
      </w:r>
      <w:r>
        <w:rPr>
          <w:rFonts w:ascii="DFKai-SB" w:cs="DFKai-SB" w:eastAsia="DFKai-SB" w:hAnsi="DFKai-SB"/>
          <w:b w:val="false"/>
          <w:bCs w:val="false"/>
          <w:i w:val="false"/>
          <w:iCs w:val="false"/>
          <w:sz w:val="22"/>
          <w:szCs w:val="22"/>
        </w:rPr>
        <w:t xml:space="preserve">，以互信息（Mutual Information）排序選出前 </w:t>
      </w:r>
      <w:r>
        <w:rPr>
          <w:rFonts w:ascii="Times New Roman" w:cs="Times New Roman" w:eastAsia="Times New Roman" w:hAnsi="Times New Roman"/>
          <w:b w:val="false"/>
          <w:bCs w:val="false"/>
          <w:i/>
          <w:iCs/>
          <w:sz w:val="22"/>
          <w:szCs w:val="22"/>
        </w:rPr>
        <w:t xml:space="preserve">k</w:t>
      </w:r>
      <w:r>
        <w:rPr>
          <w:rFonts w:ascii="DFKai-SB" w:cs="DFKai-SB" w:eastAsia="DFKai-SB" w:hAnsi="DFKai-SB"/>
          <w:b w:val="false"/>
          <w:bCs w:val="false"/>
          <w:i w:val="false"/>
          <w:iCs w:val="false"/>
          <w:sz w:val="22"/>
          <w:szCs w:val="22"/>
        </w:rPr>
        <w:t xml:space="preserve"> 個特徵，並對其計算二階多項式交互項與分組統計聚合（均值、標準差、最小值、最大值）。針對</w:t>
      </w:r>
      <w:r>
        <w:rPr>
          <w:rFonts w:ascii="DFKai-SB" w:cs="DFKai-SB" w:eastAsia="DFKai-SB" w:hAnsi="DFKai-SB"/>
          <w:b/>
          <w:bCs/>
          <w:i w:val="false"/>
          <w:iCs w:val="false"/>
          <w:sz w:val="22"/>
          <w:szCs w:val="22"/>
        </w:rPr>
        <w:t xml:space="preserve">時間序列資料</w:t>
      </w:r>
      <w:r>
        <w:rPr>
          <w:rFonts w:ascii="DFKai-SB" w:cs="DFKai-SB" w:eastAsia="DFKai-SB" w:hAnsi="DFKai-SB"/>
          <w:b w:val="false"/>
          <w:bCs w:val="false"/>
          <w:i w:val="false"/>
          <w:iCs w:val="false"/>
          <w:sz w:val="22"/>
          <w:szCs w:val="22"/>
        </w:rPr>
        <w:t xml:space="preserve">，提取可配置視窗大小的落後特徵（Lag Features）、滑動窗口統計（均值、標準差、偏態）及日曆特徵（時、星期、月、季節性指標）。所有工程特徵在訓練後透過 SHAP 值回饋評估，以修剪冗餘或引入噪音的特徵。</w:t>
      </w:r>
    </w:p>
    <w:p>
      <w:pPr>
        <w:spacing w:after="60" w:before="160"/>
      </w:pPr>
      <w:r>
        <w:rPr>
          <w:rFonts w:ascii="DFKai-SB" w:cs="DFKai-SB" w:eastAsia="DFKai-SB" w:hAnsi="DFKai-SB"/>
          <w:b/>
          <w:bCs/>
          <w:sz w:val="23"/>
          <w:szCs w:val="23"/>
        </w:rPr>
        <w:t xml:space="preserve">4.3　模型選擇與超參數優化</w:t>
      </w:r>
    </w:p>
    <w:p>
      <w:pPr>
        <w:spacing w:after="80" w:before="80" w:line="300"/>
        <w:ind w:firstLine="480"/>
        <w:jc w:val="both"/>
      </w:pPr>
      <w:r>
        <w:rPr>
          <w:rFonts w:ascii="DFKai-SB" w:cs="DFKai-SB" w:eastAsia="DFKai-SB" w:hAnsi="DFKai-SB"/>
          <w:b w:val="false"/>
          <w:bCs w:val="false"/>
          <w:i w:val="false"/>
          <w:iCs w:val="false"/>
          <w:sz w:val="22"/>
          <w:szCs w:val="22"/>
        </w:rPr>
        <w:t xml:space="preserve">核心計算引擎整合 XGBoost（Chen &amp; Guestrin, 2016）與 LightGBM（Ke et al., 2017）作為主要學習器，輔以隨機森林作為基線。模型選擇與超參數調整統一由 Optuna（Akiba et al., 2019）以樹狀 Parzen 估計器（TPE）執行貝葉斯搜尋。主要搜尋超參數包含：XGBoost 的 </w:t>
      </w:r>
      <w:r>
        <w:rPr>
          <w:rFonts w:ascii="Times New Roman" w:cs="Times New Roman" w:eastAsia="Times New Roman" w:hAnsi="Times New Roman"/>
          <w:b w:val="false"/>
          <w:bCs w:val="false"/>
          <w:i/>
          <w:iCs/>
          <w:sz w:val="22"/>
          <w:szCs w:val="22"/>
        </w:rPr>
        <w:t xml:space="preserve">n_estimators</w:t>
      </w:r>
      <w:r>
        <w:rPr>
          <w:rFonts w:ascii="DFKai-SB" w:cs="DFKai-SB" w:eastAsia="DFKai-SB" w:hAnsi="DFKai-SB"/>
          <w:b w:val="false"/>
          <w:bCs w:val="false"/>
          <w:i w:val="false"/>
          <w:iCs w:val="false"/>
          <w:sz w:val="22"/>
          <w:szCs w:val="22"/>
        </w:rPr>
        <w:t xml:space="preserve">、</w:t>
      </w:r>
      <w:r>
        <w:rPr>
          <w:rFonts w:ascii="Times New Roman" w:cs="Times New Roman" w:eastAsia="Times New Roman" w:hAnsi="Times New Roman"/>
          <w:b w:val="false"/>
          <w:bCs w:val="false"/>
          <w:i/>
          <w:iCs/>
          <w:sz w:val="22"/>
          <w:szCs w:val="22"/>
        </w:rPr>
        <w:t xml:space="preserve">max_depth</w:t>
      </w:r>
      <w:r>
        <w:rPr>
          <w:rFonts w:ascii="DFKai-SB" w:cs="DFKai-SB" w:eastAsia="DFKai-SB" w:hAnsi="DFKai-SB"/>
          <w:b w:val="false"/>
          <w:bCs w:val="false"/>
          <w:i w:val="false"/>
          <w:iCs w:val="false"/>
          <w:sz w:val="22"/>
          <w:szCs w:val="22"/>
        </w:rPr>
        <w:t xml:space="preserve">、學習率、子採樣比例與正則化項；LightGBM 的 </w:t>
      </w:r>
      <w:r>
        <w:rPr>
          <w:rFonts w:ascii="Times New Roman" w:cs="Times New Roman" w:eastAsia="Times New Roman" w:hAnsi="Times New Roman"/>
          <w:b w:val="false"/>
          <w:bCs w:val="false"/>
          <w:i/>
          <w:iCs/>
          <w:sz w:val="22"/>
          <w:szCs w:val="22"/>
        </w:rPr>
        <w:t xml:space="preserve">num_leaves</w:t>
      </w:r>
      <w:r>
        <w:rPr>
          <w:rFonts w:ascii="DFKai-SB" w:cs="DFKai-SB" w:eastAsia="DFKai-SB" w:hAnsi="DFKai-SB"/>
          <w:b w:val="false"/>
          <w:bCs w:val="false"/>
          <w:i w:val="false"/>
          <w:iCs w:val="false"/>
          <w:sz w:val="22"/>
          <w:szCs w:val="22"/>
        </w:rPr>
        <w:t xml:space="preserve">、特徵採樣比例、列採樣比例與 L1/L2 正則化項。Optuna 的 MedianPruner 依中間交叉驗證分數提前終止低效試驗，降低整體計算量。最終保留 Pareto 最優的前 5 個配置，透過折外（Out-of-Fold）堆疊集成，輸出最終模型。評估指標：迴歸採 RMSE，二元分類採 AUC-ROC，多元分類採宏平均 AUC。</w:t>
      </w:r>
    </w:p>
    <w:p>
      <w:pPr>
        <w:spacing w:after="60" w:before="160"/>
      </w:pPr>
      <w:r>
        <w:rPr>
          <w:rFonts w:ascii="DFKai-SB" w:cs="DFKai-SB" w:eastAsia="DFKai-SB" w:hAnsi="DFKai-SB"/>
          <w:b/>
          <w:bCs/>
          <w:sz w:val="23"/>
          <w:szCs w:val="23"/>
        </w:rPr>
        <w:t xml:space="preserve">4.4　可解釋決策支援模組</w:t>
      </w:r>
    </w:p>
    <w:p>
      <w:pPr>
        <w:spacing w:after="80" w:before="80" w:line="300"/>
        <w:ind w:firstLine="480"/>
        <w:jc w:val="both"/>
      </w:pPr>
      <w:r>
        <w:rPr>
          <w:rFonts w:ascii="DFKai-SB" w:cs="DFKai-SB" w:eastAsia="DFKai-SB" w:hAnsi="DFKai-SB"/>
          <w:b w:val="false"/>
          <w:bCs w:val="false"/>
          <w:i w:val="false"/>
          <w:iCs w:val="false"/>
          <w:sz w:val="22"/>
          <w:szCs w:val="22"/>
        </w:rPr>
        <w:t xml:space="preserve">訓練完成後，平台以 TreeSHAP（Lundberg &amp; Lee, 2017）計算所有預測的特徵歸因值，提供三個層次的可解釋性輸出：</w:t>
      </w:r>
    </w:p>
    <w:p>
      <w:pPr>
        <w:spacing w:after="80" w:before="80" w:line="300"/>
        <w:ind w:firstLine="480"/>
        <w:jc w:val="both"/>
      </w:pPr>
      <w:r>
        <w:rPr>
          <w:rFonts w:ascii="DFKai-SB" w:cs="DFKai-SB" w:eastAsia="DFKai-SB" w:hAnsi="DFKai-SB"/>
          <w:b/>
          <w:bCs/>
          <w:i w:val="false"/>
          <w:iCs w:val="false"/>
          <w:sz w:val="22"/>
          <w:szCs w:val="22"/>
        </w:rPr>
        <w:t xml:space="preserve">（a）全局解釋：</w:t>
      </w:r>
      <w:r>
        <w:rPr>
          <w:rFonts w:ascii="DFKai-SB" w:cs="DFKai-SB" w:eastAsia="DFKai-SB" w:hAnsi="DFKai-SB"/>
          <w:b w:val="false"/>
          <w:bCs w:val="false"/>
          <w:i w:val="false"/>
          <w:iCs w:val="false"/>
          <w:sz w:val="22"/>
          <w:szCs w:val="22"/>
        </w:rPr>
        <w:t xml:space="preserve">蜂群圖（Beeswarm Plot）依平均絕對 SHAP 值排序特徵，呈現模型整體行為；</w:t>
      </w:r>
    </w:p>
    <w:p>
      <w:pPr>
        <w:spacing w:after="80" w:before="80" w:line="300"/>
        <w:ind w:firstLine="480"/>
        <w:jc w:val="both"/>
      </w:pPr>
      <w:r>
        <w:rPr>
          <w:rFonts w:ascii="DFKai-SB" w:cs="DFKai-SB" w:eastAsia="DFKai-SB" w:hAnsi="DFKai-SB"/>
          <w:b/>
          <w:bCs/>
          <w:i w:val="false"/>
          <w:iCs w:val="false"/>
          <w:sz w:val="22"/>
          <w:szCs w:val="22"/>
        </w:rPr>
        <w:t xml:space="preserve">（b）局部解釋：</w:t>
      </w:r>
      <w:r>
        <w:rPr>
          <w:rFonts w:ascii="DFKai-SB" w:cs="DFKai-SB" w:eastAsia="DFKai-SB" w:hAnsi="DFKai-SB"/>
          <w:b w:val="false"/>
          <w:bCs w:val="false"/>
          <w:i w:val="false"/>
          <w:iCs w:val="false"/>
          <w:sz w:val="22"/>
          <w:szCs w:val="22"/>
        </w:rPr>
        <w:t xml:space="preserve">瀑布圖（Waterfall Plot）將個別預測分解為各特徵對基線預測值的貢獻，支援逐案決策稽核；</w:t>
      </w:r>
    </w:p>
    <w:p>
      <w:pPr>
        <w:spacing w:after="80" w:before="80" w:line="300"/>
        <w:ind w:firstLine="480"/>
        <w:jc w:val="both"/>
      </w:pPr>
      <w:r>
        <w:rPr>
          <w:rFonts w:ascii="DFKai-SB" w:cs="DFKai-SB" w:eastAsia="DFKai-SB" w:hAnsi="DFKai-SB"/>
          <w:b/>
          <w:bCs/>
          <w:i w:val="false"/>
          <w:iCs w:val="false"/>
          <w:sz w:val="22"/>
          <w:szCs w:val="22"/>
        </w:rPr>
        <w:t xml:space="preserve">（c）交互分析：</w:t>
      </w:r>
      <w:r>
        <w:rPr>
          <w:rFonts w:ascii="DFKai-SB" w:cs="DFKai-SB" w:eastAsia="DFKai-SB" w:hAnsi="DFKai-SB"/>
          <w:b w:val="false"/>
          <w:bCs w:val="false"/>
          <w:i w:val="false"/>
          <w:iCs w:val="false"/>
          <w:sz w:val="22"/>
          <w:szCs w:val="22"/>
        </w:rPr>
        <w:t xml:space="preserve">SHAP 交互值與依賴圖（Dependence Plot）揭示雙變量特徵交互效果，發掘隱藏因果關係。</w:t>
      </w:r>
    </w:p>
    <w:p>
      <w:pPr>
        <w:spacing w:after="80" w:before="80" w:line="300"/>
        <w:ind w:firstLine="480"/>
        <w:jc w:val="both"/>
      </w:pPr>
      <w:r>
        <w:rPr>
          <w:rFonts w:ascii="DFKai-SB" w:cs="DFKai-SB" w:eastAsia="DFKai-SB" w:hAnsi="DFKai-SB"/>
          <w:b w:val="false"/>
          <w:bCs w:val="false"/>
          <w:i w:val="false"/>
          <w:iCs w:val="false"/>
          <w:sz w:val="22"/>
          <w:szCs w:val="22"/>
        </w:rPr>
        <w:t xml:space="preserve">以上視覺化內容整合於 Plotly Dash 互動儀表板，允許使用者依預測子群篩選、跨情境比較，以及匯出決策報告——實現在不接觸模型內部的前提下完成資料驅動決策。</w:t>
      </w:r>
    </w:p>
    <w:p>
      <w:pPr>
        <w:spacing w:after="40" w:before="40"/>
      </w:pPr>
      <w:r>
        <w:t xml:space="preserve"/>
      </w:r>
    </w:p>
    <w:p>
      <w:pPr>
        <w:pBdr>
          <w:bottom w:val="single" w:color="2E4057" w:sz="4" w:space="4"/>
        </w:pBdr>
        <w:spacing w:after="100" w:before="220"/>
      </w:pPr>
      <w:r>
        <w:rPr>
          <w:rFonts w:ascii="DFKai-SB" w:cs="DFKai-SB" w:eastAsia="DFKai-SB" w:hAnsi="DFKai-SB"/>
          <w:b/>
          <w:bCs/>
          <w:color w:val="2E4057"/>
          <w:sz w:val="26"/>
          <w:szCs w:val="26"/>
        </w:rPr>
        <w:t xml:space="preserve">五、預期結果</w:t>
      </w:r>
    </w:p>
    <w:p>
      <w:pPr>
        <w:spacing w:after="60" w:before="160"/>
      </w:pPr>
      <w:r>
        <w:rPr>
          <w:rFonts w:ascii="DFKai-SB" w:cs="DFKai-SB" w:eastAsia="DFKai-SB" w:hAnsi="DFKai-SB"/>
          <w:b/>
          <w:bCs/>
          <w:sz w:val="23"/>
          <w:szCs w:val="23"/>
        </w:rPr>
        <w:t xml:space="preserve">5.1　量化性能基準</w:t>
      </w:r>
    </w:p>
    <w:p>
      <w:pPr>
        <w:spacing w:after="80" w:before="80" w:line="300"/>
        <w:ind w:firstLine="480"/>
        <w:jc w:val="both"/>
      </w:pPr>
      <w:r>
        <w:rPr>
          <w:rFonts w:ascii="DFKai-SB" w:cs="DFKai-SB" w:eastAsia="DFKai-SB" w:hAnsi="DFKai-SB"/>
          <w:b w:val="false"/>
          <w:bCs w:val="false"/>
          <w:i w:val="false"/>
          <w:iCs w:val="false"/>
          <w:sz w:val="22"/>
          <w:szCs w:val="22"/>
        </w:rPr>
        <w:t xml:space="preserve">我們預期本平台在 OpenML-CC18 基準套件（72 個分類資料集）及 10 個 Kaggle 競賽資料集（涵蓋迴歸與時序預測）上達到以下目標：（i）在等量時間預算下，AUC-ROC 優於 Auto-sklearn 達 5% 以上；（ii）在迴歸任務上，RMSE 較 GPT-4 零樣本基線（以序列化表格列提示）降低 10% 以上；（iii）與 AutoGluon-Tabular 相比，在至少 70% 的資料集上相對誤差控制在 15% 以內。上述預期以 Grinsztajn 等人（2022）確立的樹模型優越性與 Akiba 等人（2019）展示的貝葉斯 HPO 效能為依據。</w:t>
      </w:r>
    </w:p>
    <w:p>
      <w:pPr>
        <w:spacing w:after="60" w:before="160"/>
      </w:pPr>
      <w:r>
        <w:rPr>
          <w:rFonts w:ascii="DFKai-SB" w:cs="DFKai-SB" w:eastAsia="DFKai-SB" w:hAnsi="DFKai-SB"/>
          <w:b/>
          <w:bCs/>
          <w:sz w:val="23"/>
          <w:szCs w:val="23"/>
        </w:rPr>
        <w:t xml:space="preserve">5.2　時間序列預測</w:t>
      </w:r>
    </w:p>
    <w:p>
      <w:pPr>
        <w:spacing w:after="80" w:before="80" w:line="300"/>
        <w:ind w:firstLine="480"/>
        <w:jc w:val="both"/>
      </w:pPr>
      <w:r>
        <w:rPr>
          <w:rFonts w:ascii="DFKai-SB" w:cs="DFKai-SB" w:eastAsia="DFKai-SB" w:hAnsi="DFKai-SB"/>
          <w:b w:val="false"/>
          <w:bCs w:val="false"/>
          <w:i w:val="false"/>
          <w:iCs w:val="false"/>
          <w:sz w:val="22"/>
          <w:szCs w:val="22"/>
        </w:rPr>
        <w:t xml:space="preserve">針對時序任務，我們預期本平台的時序特徵工程模組（落後特徵、滑動統計、日曆特徵）能使 XGBoost 與 LightGBM 在 M5 預測競賽等標準基準上達到與 SARIMA、Prophet 等專用時序模型相當的預測精度，驗證 AutoML 表格方法透過顯式時序特徵編碼可有效泛化至時序預測任務。</w:t>
      </w:r>
    </w:p>
    <w:p>
      <w:pPr>
        <w:spacing w:after="60" w:before="160"/>
      </w:pPr>
      <w:r>
        <w:rPr>
          <w:rFonts w:ascii="DFKai-SB" w:cs="DFKai-SB" w:eastAsia="DFKai-SB" w:hAnsi="DFKai-SB"/>
          <w:b/>
          <w:bCs/>
          <w:sz w:val="23"/>
          <w:szCs w:val="23"/>
        </w:rPr>
        <w:t xml:space="preserve">5.3　LLM 局限之量化驗證</w:t>
      </w:r>
    </w:p>
    <w:p>
      <w:pPr>
        <w:spacing w:after="80" w:before="80" w:line="300"/>
        <w:ind w:firstLine="480"/>
        <w:jc w:val="both"/>
      </w:pPr>
      <w:r>
        <w:rPr>
          <w:rFonts w:ascii="DFKai-SB" w:cs="DFKai-SB" w:eastAsia="DFKai-SB" w:hAnsi="DFKai-SB"/>
          <w:b w:val="false"/>
          <w:bCs w:val="false"/>
          <w:i w:val="false"/>
          <w:iCs w:val="false"/>
          <w:sz w:val="22"/>
          <w:szCs w:val="22"/>
        </w:rPr>
        <w:t xml:space="preserve">本研究的核心預期結果為對 LLM 局限的量化驗證：以受控實驗讓 GPT-4 分別執行（i）從序列化表格列直接預測、（ii）推薦超參數配置、（iii）進行特徵選擇，並與本平台對比。我們預期平台在三項子任務上均以顯著差距勝出，直接以實驗數據回應課程主題，將「Beyond ChatGPT」從概念論述轉化為量化結論。</w:t>
      </w:r>
    </w:p>
    <w:p>
      <w:pPr>
        <w:spacing w:after="60" w:before="160"/>
      </w:pPr>
      <w:r>
        <w:rPr>
          <w:rFonts w:ascii="DFKai-SB" w:cs="DFKai-SB" w:eastAsia="DFKai-SB" w:hAnsi="DFKai-SB"/>
          <w:b/>
          <w:bCs/>
          <w:sz w:val="23"/>
          <w:szCs w:val="23"/>
        </w:rPr>
        <w:t xml:space="preserve">5.4　可解釋性驗證</w:t>
      </w:r>
    </w:p>
    <w:p>
      <w:pPr>
        <w:spacing w:after="80" w:before="80" w:line="300"/>
        <w:ind w:firstLine="480"/>
        <w:jc w:val="both"/>
      </w:pPr>
      <w:r>
        <w:rPr>
          <w:rFonts w:ascii="DFKai-SB" w:cs="DFKai-SB" w:eastAsia="DFKai-SB" w:hAnsi="DFKai-SB"/>
          <w:b w:val="false"/>
          <w:bCs w:val="false"/>
          <w:i w:val="false"/>
          <w:iCs w:val="false"/>
          <w:sz w:val="22"/>
          <w:szCs w:val="22"/>
        </w:rPr>
        <w:t xml:space="preserve">可解釋性驗證採兩種方式：（i）</w:t>
      </w:r>
      <w:r>
        <w:rPr>
          <w:rFonts w:ascii="DFKai-SB" w:cs="DFKai-SB" w:eastAsia="DFKai-SB" w:hAnsi="DFKai-SB"/>
          <w:b/>
          <w:bCs/>
          <w:i w:val="false"/>
          <w:iCs w:val="false"/>
          <w:sz w:val="22"/>
          <w:szCs w:val="22"/>
        </w:rPr>
        <w:t xml:space="preserve">忠實性測試</w:t>
      </w:r>
      <w:r>
        <w:rPr>
          <w:rFonts w:ascii="DFKai-SB" w:cs="DFKai-SB" w:eastAsia="DFKai-SB" w:hAnsi="DFKai-SB"/>
          <w:b w:val="false"/>
          <w:bCs w:val="false"/>
          <w:i w:val="false"/>
          <w:iCs w:val="false"/>
          <w:sz w:val="22"/>
          <w:szCs w:val="22"/>
        </w:rPr>
        <w:t xml:space="preserve">——依高 SHAP 值特徵排序遞進移除特徵，量測性能下降曲線，驗證歸因特徵確為真正預測性特徵；（ii）</w:t>
      </w:r>
      <w:r>
        <w:rPr>
          <w:rFonts w:ascii="DFKai-SB" w:cs="DFKai-SB" w:eastAsia="DFKai-SB" w:hAnsi="DFKai-SB"/>
          <w:b/>
          <w:bCs/>
          <w:i w:val="false"/>
          <w:iCs w:val="false"/>
          <w:sz w:val="22"/>
          <w:szCs w:val="22"/>
        </w:rPr>
        <w:t xml:space="preserve">一致性核查</w:t>
      </w:r>
      <w:r>
        <w:rPr>
          <w:rFonts w:ascii="DFKai-SB" w:cs="DFKai-SB" w:eastAsia="DFKai-SB" w:hAnsi="DFKai-SB"/>
          <w:b w:val="false"/>
          <w:bCs w:val="false"/>
          <w:i w:val="false"/>
          <w:iCs w:val="false"/>
          <w:sz w:val="22"/>
          <w:szCs w:val="22"/>
        </w:rPr>
        <w:t xml:space="preserve">——在 UCI 成人收入等理解完備的基準資料集上，確認 SHAP 排序與領域先驗知識吻合。此外，我們預期儀表板在每個測試領域至少揭露一項統計顯著且非直觀的特徵交互效果，證明系統對決策者具有實質增值。</w:t>
      </w:r>
    </w:p>
    <w:p>
      <w:pPr>
        <w:spacing w:after="60" w:before="160"/>
      </w:pPr>
      <w:r>
        <w:rPr>
          <w:rFonts w:ascii="DFKai-SB" w:cs="DFKai-SB" w:eastAsia="DFKai-SB" w:hAnsi="DFKai-SB"/>
          <w:b/>
          <w:bCs/>
          <w:sz w:val="23"/>
          <w:szCs w:val="23"/>
        </w:rPr>
        <w:t xml:space="preserve">5.5　系統易用性</w:t>
      </w:r>
    </w:p>
    <w:p>
      <w:pPr>
        <w:spacing w:after="80" w:before="80" w:line="300"/>
        <w:ind w:firstLine="480"/>
        <w:jc w:val="both"/>
      </w:pPr>
      <w:r>
        <w:rPr>
          <w:rFonts w:ascii="DFKai-SB" w:cs="DFKai-SB" w:eastAsia="DFKai-SB" w:hAnsi="DFKai-SB"/>
          <w:b w:val="false"/>
          <w:bCs w:val="false"/>
          <w:i w:val="false"/>
          <w:iCs w:val="false"/>
          <w:sz w:val="22"/>
          <w:szCs w:val="22"/>
        </w:rPr>
        <w:t xml:space="preserve">最後，我們預期平台從原始 CSV 輸入至可解釋預測報告的完整流程不超過 5 行使用者端程式碼。以 10,000 筆樣本、30 分鐘 HPO 時間預算為基準，平台應能產出與最優可達性能差距在 3% 以內的模型，兼顧自動化深度與計算效率。</w:t>
      </w:r>
    </w:p>
    <w:p>
      <w:pPr>
        <w:spacing w:after="40" w:before="40"/>
      </w:pPr>
      <w:r>
        <w:t xml:space="preserve"/>
      </w:r>
    </w:p>
    <w:p>
      <w:pPr>
        <w:pBdr>
          <w:top w:val="single" w:color="2E4057" w:sz="6" w:space="1"/>
        </w:pBdr>
        <w:spacing w:after="100" w:before="180"/>
      </w:pPr>
      <w:r>
        <w:rPr>
          <w:rFonts w:ascii="DFKai-SB" w:cs="DFKai-SB" w:eastAsia="DFKai-SB" w:hAnsi="DFKai-SB"/>
          <w:b/>
          <w:bCs/>
          <w:color w:val="2E4057"/>
          <w:sz w:val="24"/>
          <w:szCs w:val="24"/>
        </w:rPr>
        <w:t xml:space="preserve">參考文獻</w:t>
      </w:r>
    </w:p>
    <w:p>
      <w:pPr>
        <w:spacing w:after="36" w:before="36" w:line="280"/>
        <w:ind w:left="600" w:hanging="600"/>
        <w:jc w:val="both"/>
      </w:pPr>
      <w:r>
        <w:rPr>
          <w:rFonts w:ascii="Times New Roman" w:cs="Times New Roman" w:eastAsia="Times New Roman" w:hAnsi="Times New Roman"/>
          <w:sz w:val="19"/>
          <w:szCs w:val="19"/>
        </w:rPr>
        <w:t xml:space="preserve">[1] T. Akiba, S. Sano, T. Yanase, T. Ohta, and M. Koyama, "Optuna: A next-generation hyperparameter optimization framework," in Proc. 25th ACM SIGKDD, 2019, pp. 2623–2631.</w:t>
      </w:r>
    </w:p>
    <w:p>
      <w:pPr>
        <w:spacing w:after="36" w:before="36" w:line="280"/>
        <w:ind w:left="600" w:hanging="600"/>
        <w:jc w:val="both"/>
      </w:pPr>
      <w:r>
        <w:rPr>
          <w:rFonts w:ascii="Times New Roman" w:cs="Times New Roman" w:eastAsia="Times New Roman" w:hAnsi="Times New Roman"/>
          <w:sz w:val="19"/>
          <w:szCs w:val="19"/>
        </w:rPr>
        <w:t xml:space="preserve">[2] T. Chen and C. Guestrin, "XGBoost: A scalable tree boosting system," in Proc. 22nd ACM SIGKDD, 2016, pp. 785–794.</w:t>
      </w:r>
    </w:p>
    <w:p>
      <w:pPr>
        <w:spacing w:after="36" w:before="36" w:line="280"/>
        <w:ind w:left="600" w:hanging="600"/>
        <w:jc w:val="both"/>
      </w:pPr>
      <w:r>
        <w:rPr>
          <w:rFonts w:ascii="Times New Roman" w:cs="Times New Roman" w:eastAsia="Times New Roman" w:hAnsi="Times New Roman"/>
          <w:sz w:val="19"/>
          <w:szCs w:val="19"/>
        </w:rPr>
        <w:t xml:space="preserve">[3] N. Erickson et al., "AutoGluon-Tabular: Robust and accurate AutoML for structured data," arXiv:2003.06505, 2020.</w:t>
      </w:r>
    </w:p>
    <w:p>
      <w:pPr>
        <w:spacing w:after="36" w:before="36" w:line="280"/>
        <w:ind w:left="600" w:hanging="600"/>
        <w:jc w:val="both"/>
      </w:pPr>
      <w:r>
        <w:rPr>
          <w:rFonts w:ascii="Times New Roman" w:cs="Times New Roman" w:eastAsia="Times New Roman" w:hAnsi="Times New Roman"/>
          <w:sz w:val="19"/>
          <w:szCs w:val="19"/>
        </w:rPr>
        <w:t xml:space="preserve">[4] J. Fang et al., "Large language models (LLMs) on tabular data: Prediction, generation, and understanding — A survey," arXiv:2402.17944, 2024.</w:t>
      </w:r>
    </w:p>
    <w:p>
      <w:pPr>
        <w:spacing w:after="36" w:before="36" w:line="280"/>
        <w:ind w:left="600" w:hanging="600"/>
        <w:jc w:val="both"/>
      </w:pPr>
      <w:r>
        <w:rPr>
          <w:rFonts w:ascii="Times New Roman" w:cs="Times New Roman" w:eastAsia="Times New Roman" w:hAnsi="Times New Roman"/>
          <w:sz w:val="19"/>
          <w:szCs w:val="19"/>
        </w:rPr>
        <w:t xml:space="preserve">[5] M. Feurer et al., "Efficient and robust automated machine learning," in Advances in NeurIPS, vol. 28, 2015.</w:t>
      </w:r>
    </w:p>
    <w:p>
      <w:pPr>
        <w:spacing w:after="36" w:before="36" w:line="280"/>
        <w:ind w:left="600" w:hanging="600"/>
        <w:jc w:val="both"/>
      </w:pPr>
      <w:r>
        <w:rPr>
          <w:rFonts w:ascii="Times New Roman" w:cs="Times New Roman" w:eastAsia="Times New Roman" w:hAnsi="Times New Roman"/>
          <w:sz w:val="19"/>
          <w:szCs w:val="19"/>
        </w:rPr>
        <w:t xml:space="preserve">[6] L. Grinsztajn, E. Oyallon, and G. Varoquaux, "Why do tree-based models still outperform deep learning on tabular data?" in Advances in NeurIPS, Datasets &amp; Benchmarks Track, 2022.</w:t>
      </w:r>
    </w:p>
    <w:p>
      <w:pPr>
        <w:spacing w:after="36" w:before="36" w:line="280"/>
        <w:ind w:left="600" w:hanging="600"/>
        <w:jc w:val="both"/>
      </w:pPr>
      <w:r>
        <w:rPr>
          <w:rFonts w:ascii="Times New Roman" w:cs="Times New Roman" w:eastAsia="Times New Roman" w:hAnsi="Times New Roman"/>
          <w:sz w:val="19"/>
          <w:szCs w:val="19"/>
        </w:rPr>
        <w:t xml:space="preserve">[7] S. Hegselmann et al., "TabLLM: Few-shot classification of tabular data with large language models," in Proc. AISTATS, 2023.</w:t>
      </w:r>
    </w:p>
    <w:p>
      <w:pPr>
        <w:spacing w:after="36" w:before="36" w:line="280"/>
        <w:ind w:left="600" w:hanging="600"/>
        <w:jc w:val="both"/>
      </w:pPr>
      <w:r>
        <w:rPr>
          <w:rFonts w:ascii="Times New Roman" w:cs="Times New Roman" w:eastAsia="Times New Roman" w:hAnsi="Times New Roman"/>
          <w:sz w:val="19"/>
          <w:szCs w:val="19"/>
        </w:rPr>
        <w:t xml:space="preserve">[8] G. Ke et al., "LightGBM: A highly efficient gradient boosting decision tree," in Advances in NeurIPS, vol. 30, 2017.</w:t>
      </w:r>
    </w:p>
    <w:p>
      <w:pPr>
        <w:spacing w:after="36" w:before="36" w:line="280"/>
        <w:ind w:left="600" w:hanging="600"/>
        <w:jc w:val="both"/>
      </w:pPr>
      <w:r>
        <w:rPr>
          <w:rFonts w:ascii="Times New Roman" w:cs="Times New Roman" w:eastAsia="Times New Roman" w:hAnsi="Times New Roman"/>
          <w:sz w:val="19"/>
          <w:szCs w:val="19"/>
        </w:rPr>
        <w:t xml:space="preserve">[9] S. M. Lundberg and S.-I. Lee, "A unified approach to interpreting model predictions," in Advances in NeurIPS, vol. 30, 2017.</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80"/>
      <w:jc w:val="right"/>
    </w:pPr>
    <w:r>
      <w:rPr>
        <w:rFonts w:ascii="DFKai-SB" w:cs="DFKai-SB" w:eastAsia="DFKai-SB" w:hAnsi="DFKai-SB"/>
        <w:i/>
        <w:iCs/>
        <w:color w:val="666666"/>
        <w:sz w:val="18"/>
        <w:szCs w:val="18"/>
      </w:rPr>
      <w:t xml:space="preserve">人工智慧期末專題 —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FKai-SB" w:cs="DFKai-SB" w:eastAsia="DFKai-SB" w:hAnsi="DFKai-S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2026-04-28T09:59:30.124Z</dcterms:created>
  <dcterms:modified xsi:type="dcterms:W3CDTF">2026-04-28T09:59:30.124Z</dcterms:modified>
</cp:coreProperties>
</file>

<file path=docProps/custom.xml><?xml version="1.0" encoding="utf-8"?>
<Properties xmlns="http://schemas.openxmlformats.org/officeDocument/2006/custom-properties" xmlns:vt="http://schemas.openxmlformats.org/officeDocument/2006/docPropsVTypes"/>
</file>